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AA" w:rsidRDefault="000959AA">
      <w:pPr>
        <w:spacing w:line="600" w:lineRule="exact"/>
        <w:jc w:val="center"/>
        <w:outlineLvl w:val="0"/>
        <w:rPr>
          <w:rFonts w:ascii="方正小标宋简体" w:eastAsia="方正小标宋简体" w:hAnsi="宋体" w:hint="eastAsia"/>
          <w:sz w:val="72"/>
          <w:szCs w:val="72"/>
        </w:rPr>
      </w:pPr>
      <w:bookmarkStart w:id="0" w:name="_Toc15306267"/>
    </w:p>
    <w:p w:rsidR="000959AA" w:rsidRDefault="000959AA">
      <w:pPr>
        <w:spacing w:line="600" w:lineRule="exact"/>
        <w:jc w:val="center"/>
        <w:outlineLvl w:val="0"/>
        <w:rPr>
          <w:rFonts w:ascii="方正小标宋简体" w:eastAsia="方正小标宋简体" w:hAnsi="宋体" w:hint="eastAsia"/>
          <w:sz w:val="72"/>
          <w:szCs w:val="72"/>
        </w:rPr>
      </w:pPr>
    </w:p>
    <w:p w:rsidR="00D10E46" w:rsidRPr="00D10E46" w:rsidRDefault="00D10E46" w:rsidP="00D10E46">
      <w:pPr>
        <w:pStyle w:val="a0"/>
        <w:ind w:left="840" w:hanging="420"/>
      </w:pPr>
      <w:bookmarkStart w:id="1" w:name="_GoBack"/>
      <w:bookmarkEnd w:id="1"/>
    </w:p>
    <w:p w:rsidR="000959AA" w:rsidRDefault="000959AA">
      <w:pPr>
        <w:spacing w:line="600" w:lineRule="exact"/>
        <w:jc w:val="center"/>
        <w:outlineLvl w:val="0"/>
        <w:rPr>
          <w:rFonts w:ascii="方正小标宋简体" w:eastAsia="方正小标宋简体" w:hAnsi="宋体"/>
          <w:sz w:val="72"/>
          <w:szCs w:val="72"/>
        </w:rPr>
      </w:pPr>
    </w:p>
    <w:p w:rsidR="000959AA" w:rsidRDefault="000959AA">
      <w:pPr>
        <w:spacing w:line="600" w:lineRule="exact"/>
        <w:jc w:val="center"/>
        <w:outlineLvl w:val="0"/>
        <w:rPr>
          <w:rFonts w:ascii="方正小标宋简体" w:eastAsia="方正小标宋简体" w:hAnsi="宋体"/>
          <w:sz w:val="72"/>
          <w:szCs w:val="72"/>
        </w:rPr>
      </w:pPr>
    </w:p>
    <w:p w:rsidR="000959AA" w:rsidRDefault="00953201">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2" w:name="_Toc15396597"/>
      <w:bookmarkStart w:id="3" w:name="_Toc15378441"/>
      <w:bookmarkStart w:id="4" w:name="_Toc15396475"/>
      <w:bookmarkStart w:id="5" w:name="_Toc15377425"/>
      <w:bookmarkStart w:id="6" w:name="_Toc15377193"/>
      <w:r>
        <w:rPr>
          <w:rFonts w:ascii="方正小标宋简体" w:eastAsia="方正小标宋简体" w:hAnsi="方正小标宋简体" w:cs="方正小标宋简体" w:hint="eastAsia"/>
          <w:sz w:val="72"/>
          <w:szCs w:val="72"/>
        </w:rPr>
        <w:t>2021年度</w:t>
      </w:r>
      <w:bookmarkEnd w:id="2"/>
      <w:bookmarkEnd w:id="3"/>
      <w:bookmarkEnd w:id="4"/>
      <w:bookmarkEnd w:id="5"/>
      <w:bookmarkEnd w:id="6"/>
    </w:p>
    <w:p w:rsidR="000959AA" w:rsidRDefault="00953201">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7" w:name="_Toc15396476"/>
      <w:bookmarkStart w:id="8" w:name="_Toc15377194"/>
      <w:bookmarkStart w:id="9" w:name="_Toc15396598"/>
      <w:bookmarkStart w:id="10" w:name="_Toc15377426"/>
      <w:bookmarkStart w:id="11" w:name="_Toc15378442"/>
      <w:r>
        <w:rPr>
          <w:rFonts w:ascii="方正小标宋简体" w:eastAsia="方正小标宋简体" w:hAnsi="方正小标宋简体" w:cs="方正小标宋简体" w:hint="eastAsia"/>
          <w:sz w:val="72"/>
          <w:szCs w:val="72"/>
        </w:rPr>
        <w:t>宜宾市</w:t>
      </w:r>
      <w:bookmarkStart w:id="12" w:name="_Toc15306268"/>
      <w:bookmarkEnd w:id="0"/>
      <w:r>
        <w:rPr>
          <w:rFonts w:ascii="方正小标宋简体" w:eastAsia="方正小标宋简体" w:hAnsi="方正小标宋简体" w:cs="方正小标宋简体" w:hint="eastAsia"/>
          <w:sz w:val="72"/>
          <w:szCs w:val="72"/>
        </w:rPr>
        <w:t>妇幼保健计划生育服务中心单位决算</w:t>
      </w:r>
      <w:bookmarkEnd w:id="7"/>
      <w:bookmarkEnd w:id="8"/>
      <w:bookmarkEnd w:id="9"/>
      <w:bookmarkEnd w:id="10"/>
      <w:bookmarkEnd w:id="11"/>
      <w:bookmarkEnd w:id="12"/>
    </w:p>
    <w:p w:rsidR="000959AA" w:rsidRDefault="00953201">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0959AA" w:rsidRDefault="000959AA">
      <w:pPr>
        <w:widowControl/>
        <w:jc w:val="center"/>
        <w:rPr>
          <w:rFonts w:ascii="黑体" w:eastAsia="黑体" w:hAnsi="黑体" w:cstheme="minorBidi"/>
          <w:sz w:val="28"/>
          <w:szCs w:val="28"/>
        </w:rPr>
      </w:pPr>
    </w:p>
    <w:p w:rsidR="000959AA" w:rsidRDefault="00953201">
      <w:pPr>
        <w:pStyle w:val="10"/>
      </w:pPr>
      <w:r>
        <w:rPr>
          <w:rFonts w:hint="eastAsia"/>
        </w:rPr>
        <w:t>公开时间：2022年9月28日</w:t>
      </w:r>
    </w:p>
    <w:p w:rsidR="000959AA" w:rsidRDefault="000959AA"/>
    <w:p w:rsidR="000959AA" w:rsidRDefault="00953201">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r>
        <w:tab/>
      </w:r>
      <w:r>
        <w:rPr>
          <w:rFonts w:hint="eastAsia"/>
        </w:rPr>
        <w:t>4</w:t>
      </w:r>
    </w:p>
    <w:p w:rsidR="000959AA" w:rsidRDefault="00953201">
      <w:pPr>
        <w:pStyle w:val="20"/>
        <w:adjustRightInd w:val="0"/>
        <w:snapToGrid w:val="0"/>
        <w:spacing w:line="440" w:lineRule="exact"/>
        <w:jc w:val="left"/>
        <w:rPr>
          <w:sz w:val="24"/>
        </w:rPr>
      </w:pPr>
      <w:r>
        <w:rPr>
          <w:rFonts w:hint="eastAsia"/>
          <w:sz w:val="24"/>
        </w:rPr>
        <w:t>一、职能简介</w:t>
      </w:r>
      <w:r>
        <w:tab/>
      </w:r>
      <w:r>
        <w:rPr>
          <w:rFonts w:hint="eastAsia"/>
        </w:rPr>
        <w:t>4</w:t>
      </w:r>
    </w:p>
    <w:p w:rsidR="000959AA" w:rsidRDefault="00953201">
      <w:pPr>
        <w:pStyle w:val="20"/>
        <w:adjustRightInd w:val="0"/>
        <w:snapToGrid w:val="0"/>
        <w:spacing w:line="440" w:lineRule="exact"/>
        <w:jc w:val="left"/>
        <w:rPr>
          <w:rFonts w:asciiTheme="minorEastAsia" w:hAnsiTheme="minorEastAsia" w:cstheme="minorEastAsia"/>
          <w:sz w:val="24"/>
        </w:rPr>
      </w:pPr>
      <w:r>
        <w:rPr>
          <w:rFonts w:asciiTheme="minorEastAsia" w:eastAsiaTheme="minorEastAsia" w:hAnsiTheme="minorEastAsia" w:cstheme="minorEastAsia" w:hint="eastAsia"/>
          <w:sz w:val="24"/>
        </w:rPr>
        <w:t>二、2021年重点工作完成情况</w:t>
      </w:r>
      <w:r>
        <w:tab/>
      </w:r>
      <w:r>
        <w:rPr>
          <w:rFonts w:hint="eastAsia"/>
        </w:rPr>
        <w:t>4</w:t>
      </w:r>
    </w:p>
    <w:p w:rsidR="000959AA" w:rsidRDefault="00953201">
      <w:pPr>
        <w:pStyle w:val="10"/>
        <w:adjustRightInd w:val="0"/>
        <w:snapToGrid w:val="0"/>
        <w:spacing w:before="0" w:line="440" w:lineRule="exact"/>
        <w:jc w:val="left"/>
        <w:rPr>
          <w:sz w:val="24"/>
          <w:szCs w:val="24"/>
        </w:rPr>
      </w:pPr>
      <w:r>
        <w:rPr>
          <w:rFonts w:hint="eastAsia"/>
          <w:sz w:val="24"/>
        </w:rPr>
        <w:t>第二部分 2021年度单位决算情况说明</w:t>
      </w:r>
      <w:r>
        <w:tab/>
      </w:r>
      <w:r>
        <w:rPr>
          <w:rFonts w:hint="eastAsia"/>
        </w:rPr>
        <w:t>8</w:t>
      </w:r>
    </w:p>
    <w:p w:rsidR="000959AA" w:rsidRDefault="00953201">
      <w:pPr>
        <w:pStyle w:val="20"/>
        <w:adjustRightInd w:val="0"/>
        <w:snapToGrid w:val="0"/>
        <w:spacing w:line="440" w:lineRule="exact"/>
        <w:jc w:val="left"/>
        <w:rPr>
          <w:rFonts w:ascii="仿宋" w:hAnsi="仿宋" w:cstheme="minorBidi"/>
          <w:sz w:val="24"/>
        </w:rPr>
      </w:pPr>
      <w:r>
        <w:rPr>
          <w:rFonts w:hint="eastAsia"/>
          <w:sz w:val="24"/>
        </w:rPr>
        <w:t>一、收入支出决算总体情况说明</w:t>
      </w:r>
      <w:r>
        <w:tab/>
      </w:r>
      <w:r>
        <w:rPr>
          <w:rFonts w:hint="eastAsia"/>
        </w:rPr>
        <w:t>8</w:t>
      </w:r>
    </w:p>
    <w:p w:rsidR="000959AA" w:rsidRDefault="00953201">
      <w:pPr>
        <w:pStyle w:val="20"/>
        <w:adjustRightInd w:val="0"/>
        <w:snapToGrid w:val="0"/>
        <w:spacing w:line="440" w:lineRule="exact"/>
        <w:jc w:val="left"/>
        <w:rPr>
          <w:rFonts w:ascii="仿宋" w:hAnsi="仿宋" w:cstheme="minorBidi"/>
          <w:sz w:val="24"/>
        </w:rPr>
      </w:pPr>
      <w:r>
        <w:rPr>
          <w:rFonts w:hint="eastAsia"/>
          <w:sz w:val="24"/>
        </w:rPr>
        <w:t>二、收入决算情况说明</w:t>
      </w:r>
      <w:r>
        <w:tab/>
      </w:r>
      <w:r>
        <w:rPr>
          <w:rFonts w:hint="eastAsia"/>
        </w:rPr>
        <w:t>8</w:t>
      </w:r>
    </w:p>
    <w:p w:rsidR="000959AA" w:rsidRDefault="00953201">
      <w:pPr>
        <w:pStyle w:val="20"/>
        <w:adjustRightInd w:val="0"/>
        <w:snapToGrid w:val="0"/>
        <w:spacing w:line="440" w:lineRule="exact"/>
        <w:jc w:val="left"/>
        <w:rPr>
          <w:rFonts w:ascii="仿宋" w:hAnsi="仿宋" w:cstheme="minorBidi"/>
          <w:sz w:val="24"/>
        </w:rPr>
      </w:pPr>
      <w:r>
        <w:rPr>
          <w:rFonts w:hint="eastAsia"/>
          <w:sz w:val="24"/>
        </w:rPr>
        <w:t>三、支出决算情况说明</w:t>
      </w:r>
      <w:r>
        <w:tab/>
      </w:r>
      <w:r>
        <w:rPr>
          <w:rFonts w:hint="eastAsia"/>
        </w:rPr>
        <w:t>9</w:t>
      </w:r>
    </w:p>
    <w:p w:rsidR="000959AA" w:rsidRDefault="00953201">
      <w:pPr>
        <w:pStyle w:val="20"/>
        <w:adjustRightInd w:val="0"/>
        <w:snapToGrid w:val="0"/>
        <w:spacing w:line="440" w:lineRule="exact"/>
        <w:jc w:val="left"/>
        <w:rPr>
          <w:rFonts w:ascii="仿宋" w:hAnsi="仿宋" w:cstheme="minorBidi"/>
          <w:sz w:val="24"/>
        </w:rPr>
      </w:pPr>
      <w:r>
        <w:rPr>
          <w:rFonts w:hint="eastAsia"/>
          <w:sz w:val="24"/>
        </w:rPr>
        <w:t>四、财政拨款收入支出决算总体情况说明</w:t>
      </w:r>
      <w:r>
        <w:tab/>
      </w:r>
      <w:r>
        <w:rPr>
          <w:rFonts w:hint="eastAsia"/>
        </w:rPr>
        <w:t>9</w:t>
      </w:r>
    </w:p>
    <w:p w:rsidR="000959AA" w:rsidRDefault="00953201">
      <w:pPr>
        <w:pStyle w:val="20"/>
        <w:adjustRightInd w:val="0"/>
        <w:snapToGrid w:val="0"/>
        <w:spacing w:line="440" w:lineRule="exact"/>
        <w:jc w:val="left"/>
        <w:rPr>
          <w:rFonts w:ascii="仿宋" w:hAnsi="仿宋" w:cstheme="minorBidi"/>
          <w:sz w:val="24"/>
        </w:rPr>
      </w:pPr>
      <w:r>
        <w:rPr>
          <w:rFonts w:hint="eastAsia"/>
          <w:sz w:val="24"/>
        </w:rPr>
        <w:t>五、一般公共预算财政拨款支出决算情况说明</w:t>
      </w:r>
      <w:r>
        <w:tab/>
      </w:r>
      <w:r>
        <w:rPr>
          <w:rFonts w:hint="eastAsia"/>
        </w:rPr>
        <w:t>10</w:t>
      </w:r>
    </w:p>
    <w:p w:rsidR="000959AA" w:rsidRDefault="00953201">
      <w:pPr>
        <w:pStyle w:val="20"/>
        <w:adjustRightInd w:val="0"/>
        <w:snapToGrid w:val="0"/>
        <w:spacing w:line="440" w:lineRule="exact"/>
        <w:jc w:val="left"/>
        <w:rPr>
          <w:rFonts w:ascii="仿宋" w:hAnsi="仿宋" w:cstheme="minorBidi"/>
          <w:sz w:val="24"/>
        </w:rPr>
      </w:pPr>
      <w:r>
        <w:rPr>
          <w:rFonts w:hint="eastAsia"/>
          <w:sz w:val="24"/>
        </w:rPr>
        <w:t>六、一般公共预算财政拨款基本支出决算情况说明</w:t>
      </w:r>
      <w:r>
        <w:tab/>
      </w:r>
      <w:r>
        <w:rPr>
          <w:rFonts w:hint="eastAsia"/>
        </w:rPr>
        <w:t>13</w:t>
      </w:r>
    </w:p>
    <w:p w:rsidR="000959AA" w:rsidRDefault="00953201">
      <w:pPr>
        <w:pStyle w:val="20"/>
        <w:adjustRightInd w:val="0"/>
        <w:snapToGrid w:val="0"/>
        <w:spacing w:line="440" w:lineRule="exact"/>
        <w:jc w:val="left"/>
        <w:rPr>
          <w:rFonts w:ascii="仿宋" w:hAnsi="仿宋" w:cstheme="minorBidi"/>
          <w:sz w:val="24"/>
        </w:rPr>
      </w:pPr>
      <w:r>
        <w:rPr>
          <w:rFonts w:hint="eastAsia"/>
          <w:sz w:val="24"/>
        </w:rPr>
        <w:t>七、“三公”经费财政拨款支出决算情况说明</w:t>
      </w:r>
      <w:r>
        <w:tab/>
      </w:r>
      <w:r>
        <w:rPr>
          <w:rFonts w:hint="eastAsia"/>
        </w:rPr>
        <w:t>13</w:t>
      </w:r>
    </w:p>
    <w:p w:rsidR="000959AA" w:rsidRDefault="00953201">
      <w:pPr>
        <w:pStyle w:val="20"/>
        <w:adjustRightInd w:val="0"/>
        <w:snapToGrid w:val="0"/>
        <w:spacing w:line="440" w:lineRule="exact"/>
        <w:jc w:val="left"/>
        <w:rPr>
          <w:rFonts w:ascii="仿宋" w:hAnsi="仿宋" w:cstheme="minorBidi"/>
          <w:sz w:val="24"/>
        </w:rPr>
      </w:pPr>
      <w:r>
        <w:rPr>
          <w:rFonts w:hint="eastAsia"/>
          <w:sz w:val="24"/>
        </w:rPr>
        <w:t>八、政府性基金预算支出决算情况说明</w:t>
      </w:r>
      <w:r>
        <w:tab/>
      </w:r>
      <w:r>
        <w:rPr>
          <w:rFonts w:hint="eastAsia"/>
        </w:rPr>
        <w:t>15</w:t>
      </w:r>
    </w:p>
    <w:p w:rsidR="000959AA" w:rsidRDefault="00953201">
      <w:pPr>
        <w:pStyle w:val="20"/>
        <w:adjustRightInd w:val="0"/>
        <w:snapToGrid w:val="0"/>
        <w:spacing w:line="440" w:lineRule="exact"/>
        <w:jc w:val="left"/>
        <w:rPr>
          <w:sz w:val="24"/>
        </w:rPr>
      </w:pPr>
      <w:r>
        <w:rPr>
          <w:rFonts w:hint="eastAsia"/>
          <w:sz w:val="24"/>
        </w:rPr>
        <w:t>九、国有资本经营预算支出决算情况说明</w:t>
      </w:r>
      <w:r>
        <w:tab/>
      </w:r>
      <w:r>
        <w:rPr>
          <w:rFonts w:hint="eastAsia"/>
        </w:rPr>
        <w:t>15</w:t>
      </w:r>
    </w:p>
    <w:p w:rsidR="000959AA" w:rsidRDefault="00953201">
      <w:pPr>
        <w:pStyle w:val="20"/>
        <w:adjustRightInd w:val="0"/>
        <w:snapToGrid w:val="0"/>
        <w:spacing w:line="440" w:lineRule="exact"/>
        <w:jc w:val="left"/>
        <w:rPr>
          <w:sz w:val="24"/>
        </w:rPr>
      </w:pPr>
      <w:r>
        <w:rPr>
          <w:rFonts w:hint="eastAsia"/>
          <w:sz w:val="24"/>
        </w:rPr>
        <w:t>十、其他重要事项的情况说明</w:t>
      </w:r>
      <w:r>
        <w:tab/>
      </w:r>
      <w:r>
        <w:rPr>
          <w:rFonts w:hint="eastAsia"/>
        </w:rPr>
        <w:t>15</w:t>
      </w:r>
    </w:p>
    <w:p w:rsidR="000959AA" w:rsidRDefault="00953201">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tab/>
      </w:r>
      <w:r>
        <w:rPr>
          <w:rFonts w:hint="eastAsia"/>
        </w:rPr>
        <w:t>16</w:t>
      </w:r>
    </w:p>
    <w:p w:rsidR="000959AA" w:rsidRDefault="00953201">
      <w:pPr>
        <w:pStyle w:val="10"/>
        <w:adjustRightInd w:val="0"/>
        <w:snapToGrid w:val="0"/>
        <w:spacing w:before="0" w:line="440" w:lineRule="exact"/>
        <w:jc w:val="left"/>
      </w:pPr>
      <w:r>
        <w:rPr>
          <w:rFonts w:hint="eastAsia"/>
          <w:sz w:val="24"/>
        </w:rPr>
        <w:t>第四部分</w:t>
      </w:r>
      <w:r>
        <w:rPr>
          <w:sz w:val="24"/>
        </w:rPr>
        <w:t xml:space="preserve"> </w:t>
      </w:r>
      <w:r>
        <w:rPr>
          <w:rFonts w:hint="eastAsia"/>
          <w:sz w:val="24"/>
        </w:rPr>
        <w:t>附件</w:t>
      </w:r>
      <w:r>
        <w:tab/>
      </w:r>
      <w:r>
        <w:rPr>
          <w:rFonts w:hint="eastAsia"/>
        </w:rPr>
        <w:t>21</w:t>
      </w:r>
    </w:p>
    <w:p w:rsidR="000959AA" w:rsidRDefault="00953201">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附表（见附表）</w:t>
      </w:r>
      <w:r>
        <w:tab/>
      </w:r>
      <w:r>
        <w:rPr>
          <w:rFonts w:hint="eastAsia"/>
        </w:rPr>
        <w:t>27</w:t>
      </w:r>
    </w:p>
    <w:p w:rsidR="000959AA" w:rsidRDefault="00953201">
      <w:pPr>
        <w:pStyle w:val="10"/>
        <w:adjustRightInd w:val="0"/>
        <w:snapToGrid w:val="0"/>
        <w:spacing w:before="0" w:line="440" w:lineRule="exact"/>
        <w:jc w:val="left"/>
        <w:rPr>
          <w:rFonts w:cstheme="minorBidi"/>
          <w:sz w:val="24"/>
          <w:szCs w:val="24"/>
        </w:rPr>
      </w:pPr>
      <w:r>
        <w:rPr>
          <w:rFonts w:hint="eastAsia"/>
          <w:sz w:val="24"/>
        </w:rPr>
        <w:t>一、收入支出决算总表</w:t>
      </w:r>
      <w:r>
        <w:tab/>
      </w:r>
      <w:r>
        <w:rPr>
          <w:rFonts w:hint="eastAsia"/>
        </w:rPr>
        <w:t>27</w:t>
      </w:r>
    </w:p>
    <w:p w:rsidR="000959AA" w:rsidRDefault="00953201">
      <w:pPr>
        <w:pStyle w:val="10"/>
        <w:adjustRightInd w:val="0"/>
        <w:snapToGrid w:val="0"/>
        <w:spacing w:before="0" w:line="440" w:lineRule="exact"/>
        <w:jc w:val="left"/>
        <w:rPr>
          <w:sz w:val="24"/>
        </w:rPr>
      </w:pPr>
      <w:r>
        <w:rPr>
          <w:rFonts w:hint="eastAsia"/>
          <w:sz w:val="24"/>
        </w:rPr>
        <w:t>二、收入决算表</w:t>
      </w:r>
      <w:r>
        <w:tab/>
      </w:r>
      <w:r>
        <w:rPr>
          <w:rFonts w:hint="eastAsia"/>
        </w:rPr>
        <w:t>27</w:t>
      </w:r>
    </w:p>
    <w:p w:rsidR="000959AA" w:rsidRDefault="00953201">
      <w:pPr>
        <w:pStyle w:val="10"/>
        <w:adjustRightInd w:val="0"/>
        <w:snapToGrid w:val="0"/>
        <w:spacing w:before="0" w:line="440" w:lineRule="exact"/>
        <w:jc w:val="left"/>
        <w:rPr>
          <w:sz w:val="24"/>
        </w:rPr>
      </w:pPr>
      <w:r>
        <w:rPr>
          <w:rFonts w:hint="eastAsia"/>
          <w:sz w:val="24"/>
        </w:rPr>
        <w:t>三、支出决算表</w:t>
      </w:r>
      <w:r>
        <w:tab/>
      </w:r>
      <w:r>
        <w:rPr>
          <w:rFonts w:hint="eastAsia"/>
        </w:rPr>
        <w:t>27</w:t>
      </w:r>
    </w:p>
    <w:p w:rsidR="000959AA" w:rsidRDefault="00953201">
      <w:pPr>
        <w:pStyle w:val="10"/>
        <w:adjustRightInd w:val="0"/>
        <w:snapToGrid w:val="0"/>
        <w:spacing w:before="0" w:line="440" w:lineRule="exact"/>
        <w:jc w:val="left"/>
        <w:rPr>
          <w:sz w:val="24"/>
        </w:rPr>
      </w:pPr>
      <w:r>
        <w:rPr>
          <w:rFonts w:hint="eastAsia"/>
          <w:sz w:val="24"/>
        </w:rPr>
        <w:t>四、财政拨款收入支出决算总表</w:t>
      </w:r>
      <w:r>
        <w:tab/>
      </w:r>
      <w:r>
        <w:rPr>
          <w:rFonts w:hint="eastAsia"/>
        </w:rPr>
        <w:t>27</w:t>
      </w:r>
    </w:p>
    <w:p w:rsidR="000959AA" w:rsidRDefault="00953201">
      <w:pPr>
        <w:pStyle w:val="10"/>
        <w:adjustRightInd w:val="0"/>
        <w:snapToGrid w:val="0"/>
        <w:spacing w:before="0" w:line="440" w:lineRule="exact"/>
        <w:jc w:val="left"/>
        <w:rPr>
          <w:sz w:val="24"/>
        </w:rPr>
      </w:pPr>
      <w:r>
        <w:rPr>
          <w:rFonts w:hint="eastAsia"/>
          <w:sz w:val="24"/>
        </w:rPr>
        <w:t>五、财政拨款支出决算明细表</w:t>
      </w:r>
      <w:r>
        <w:tab/>
      </w:r>
      <w:r>
        <w:rPr>
          <w:rFonts w:hint="eastAsia"/>
        </w:rPr>
        <w:t>27</w:t>
      </w:r>
    </w:p>
    <w:p w:rsidR="000959AA" w:rsidRDefault="00953201">
      <w:pPr>
        <w:pStyle w:val="10"/>
        <w:adjustRightInd w:val="0"/>
        <w:snapToGrid w:val="0"/>
        <w:spacing w:before="0" w:line="440" w:lineRule="exact"/>
        <w:jc w:val="left"/>
        <w:rPr>
          <w:sz w:val="24"/>
        </w:rPr>
      </w:pPr>
      <w:r>
        <w:rPr>
          <w:rFonts w:hint="eastAsia"/>
          <w:sz w:val="24"/>
        </w:rPr>
        <w:t>六、一般公共预算财政拨款支出决算表</w:t>
      </w:r>
      <w:r>
        <w:tab/>
      </w:r>
      <w:r>
        <w:rPr>
          <w:rFonts w:hint="eastAsia"/>
        </w:rPr>
        <w:t>27</w:t>
      </w:r>
    </w:p>
    <w:p w:rsidR="000959AA" w:rsidRDefault="00953201">
      <w:pPr>
        <w:pStyle w:val="10"/>
        <w:adjustRightInd w:val="0"/>
        <w:snapToGrid w:val="0"/>
        <w:spacing w:before="0" w:line="440" w:lineRule="exact"/>
        <w:jc w:val="left"/>
        <w:rPr>
          <w:sz w:val="24"/>
        </w:rPr>
      </w:pPr>
      <w:r>
        <w:rPr>
          <w:rFonts w:hint="eastAsia"/>
          <w:sz w:val="24"/>
        </w:rPr>
        <w:t>七、一般公共预算财政拨款支出决算明细表</w:t>
      </w:r>
      <w:r>
        <w:tab/>
      </w:r>
      <w:r>
        <w:rPr>
          <w:rFonts w:hint="eastAsia"/>
        </w:rPr>
        <w:t>27</w:t>
      </w:r>
    </w:p>
    <w:p w:rsidR="000959AA" w:rsidRDefault="00953201">
      <w:pPr>
        <w:pStyle w:val="10"/>
        <w:adjustRightInd w:val="0"/>
        <w:snapToGrid w:val="0"/>
        <w:spacing w:before="0" w:line="440" w:lineRule="exact"/>
        <w:jc w:val="left"/>
        <w:rPr>
          <w:sz w:val="24"/>
        </w:rPr>
      </w:pPr>
      <w:r>
        <w:rPr>
          <w:rFonts w:hint="eastAsia"/>
          <w:sz w:val="24"/>
        </w:rPr>
        <w:t>八、一般公共预算财政拨款基本支出决算表</w:t>
      </w:r>
      <w:r>
        <w:tab/>
      </w:r>
      <w:r>
        <w:rPr>
          <w:rFonts w:hint="eastAsia"/>
        </w:rPr>
        <w:t>27</w:t>
      </w:r>
    </w:p>
    <w:p w:rsidR="000959AA" w:rsidRDefault="00953201">
      <w:pPr>
        <w:pStyle w:val="10"/>
        <w:adjustRightInd w:val="0"/>
        <w:snapToGrid w:val="0"/>
        <w:spacing w:before="0" w:line="440" w:lineRule="exact"/>
        <w:jc w:val="left"/>
        <w:rPr>
          <w:sz w:val="24"/>
        </w:rPr>
      </w:pPr>
      <w:r>
        <w:rPr>
          <w:rFonts w:hint="eastAsia"/>
          <w:sz w:val="24"/>
        </w:rPr>
        <w:t>九、一般公共预算财政拨款项目支出决算表</w:t>
      </w:r>
      <w:r>
        <w:tab/>
      </w:r>
      <w:r>
        <w:rPr>
          <w:rFonts w:hint="eastAsia"/>
        </w:rPr>
        <w:t>27</w:t>
      </w:r>
    </w:p>
    <w:p w:rsidR="000959AA" w:rsidRDefault="00953201">
      <w:pPr>
        <w:pStyle w:val="10"/>
        <w:adjustRightInd w:val="0"/>
        <w:snapToGrid w:val="0"/>
        <w:spacing w:before="0" w:line="440" w:lineRule="exact"/>
        <w:jc w:val="left"/>
        <w:rPr>
          <w:sz w:val="24"/>
        </w:rPr>
      </w:pPr>
      <w:r>
        <w:rPr>
          <w:rFonts w:hint="eastAsia"/>
          <w:sz w:val="24"/>
        </w:rPr>
        <w:lastRenderedPageBreak/>
        <w:t>十、一般公共预算财政拨款“三公”经费支出决算表</w:t>
      </w:r>
      <w:r>
        <w:tab/>
      </w:r>
      <w:r>
        <w:rPr>
          <w:rFonts w:hint="eastAsia"/>
        </w:rPr>
        <w:t>27</w:t>
      </w:r>
    </w:p>
    <w:p w:rsidR="000959AA" w:rsidRDefault="00953201">
      <w:pPr>
        <w:pStyle w:val="10"/>
        <w:adjustRightInd w:val="0"/>
        <w:snapToGrid w:val="0"/>
        <w:spacing w:before="0" w:line="440" w:lineRule="exact"/>
        <w:jc w:val="left"/>
        <w:rPr>
          <w:sz w:val="24"/>
        </w:rPr>
      </w:pPr>
      <w:r>
        <w:rPr>
          <w:rFonts w:hint="eastAsia"/>
          <w:sz w:val="24"/>
        </w:rPr>
        <w:t>十一、政府性基金预算财政拨款收入支出决算表</w:t>
      </w:r>
      <w:r>
        <w:tab/>
      </w:r>
      <w:r>
        <w:rPr>
          <w:rFonts w:hint="eastAsia"/>
        </w:rPr>
        <w:t>27</w:t>
      </w:r>
    </w:p>
    <w:p w:rsidR="000959AA" w:rsidRDefault="00953201">
      <w:pPr>
        <w:pStyle w:val="10"/>
        <w:adjustRightInd w:val="0"/>
        <w:snapToGrid w:val="0"/>
        <w:spacing w:before="0" w:line="440" w:lineRule="exact"/>
        <w:jc w:val="left"/>
        <w:rPr>
          <w:sz w:val="24"/>
        </w:rPr>
      </w:pPr>
      <w:r>
        <w:rPr>
          <w:rFonts w:hint="eastAsia"/>
          <w:sz w:val="24"/>
        </w:rPr>
        <w:t>十二、政府性基金预算财政拨款“三公”经费支出决算表</w:t>
      </w:r>
      <w:r>
        <w:tab/>
      </w:r>
      <w:r>
        <w:rPr>
          <w:rFonts w:hint="eastAsia"/>
        </w:rPr>
        <w:t>27</w:t>
      </w:r>
    </w:p>
    <w:p w:rsidR="000959AA" w:rsidRDefault="00953201">
      <w:pPr>
        <w:pStyle w:val="10"/>
        <w:adjustRightInd w:val="0"/>
        <w:snapToGrid w:val="0"/>
        <w:spacing w:before="0" w:line="440" w:lineRule="exact"/>
        <w:jc w:val="left"/>
        <w:rPr>
          <w:sz w:val="24"/>
        </w:rPr>
      </w:pPr>
      <w:r>
        <w:rPr>
          <w:rFonts w:hint="eastAsia"/>
          <w:sz w:val="24"/>
        </w:rPr>
        <w:t>十三、国有资本经营预算财政拨款收入支出决算表</w:t>
      </w:r>
      <w:r>
        <w:tab/>
      </w:r>
      <w:r>
        <w:rPr>
          <w:rFonts w:hint="eastAsia"/>
        </w:rPr>
        <w:t>27</w:t>
      </w:r>
    </w:p>
    <w:p w:rsidR="000959AA" w:rsidRDefault="00953201">
      <w:pPr>
        <w:pStyle w:val="10"/>
        <w:adjustRightInd w:val="0"/>
        <w:snapToGrid w:val="0"/>
        <w:spacing w:before="0" w:line="440" w:lineRule="exact"/>
        <w:jc w:val="left"/>
        <w:rPr>
          <w:rFonts w:cstheme="minorBidi"/>
          <w:sz w:val="24"/>
          <w:szCs w:val="24"/>
        </w:rPr>
      </w:pPr>
      <w:r>
        <w:rPr>
          <w:rFonts w:hint="eastAsia"/>
          <w:sz w:val="24"/>
        </w:rPr>
        <w:t>十四、国有资本经营预算财政拨款支出决算表</w:t>
      </w:r>
      <w:r>
        <w:tab/>
      </w:r>
      <w:r>
        <w:rPr>
          <w:rFonts w:hint="eastAsia"/>
        </w:rPr>
        <w:t>27</w:t>
      </w:r>
    </w:p>
    <w:p w:rsidR="000959AA" w:rsidRDefault="000959AA">
      <w:pPr>
        <w:pStyle w:val="20"/>
        <w:adjustRightInd w:val="0"/>
        <w:snapToGrid w:val="0"/>
        <w:spacing w:line="440" w:lineRule="exact"/>
        <w:jc w:val="left"/>
        <w:rPr>
          <w:sz w:val="24"/>
        </w:rPr>
      </w:pPr>
    </w:p>
    <w:p w:rsidR="000959AA" w:rsidRDefault="00953201">
      <w:pPr>
        <w:widowControl/>
        <w:spacing w:line="440" w:lineRule="exact"/>
        <w:jc w:val="left"/>
        <w:rPr>
          <w:rFonts w:ascii="仿宋" w:eastAsia="仿宋" w:hAnsi="仿宋"/>
          <w:bCs/>
          <w:kern w:val="44"/>
          <w:sz w:val="24"/>
        </w:rPr>
      </w:pPr>
      <w:bookmarkStart w:id="13" w:name="_Toc15396599"/>
      <w:bookmarkStart w:id="14" w:name="_Toc15377196"/>
      <w:r>
        <w:rPr>
          <w:rFonts w:ascii="仿宋" w:eastAsia="仿宋" w:hAnsi="仿宋"/>
          <w:b/>
          <w:sz w:val="24"/>
        </w:rPr>
        <w:br w:type="page"/>
      </w:r>
    </w:p>
    <w:p w:rsidR="000959AA" w:rsidRDefault="00953201">
      <w:pPr>
        <w:pStyle w:val="1"/>
        <w:jc w:val="center"/>
        <w:rPr>
          <w:rStyle w:val="1Char"/>
          <w:rFonts w:ascii="黑体" w:eastAsia="黑体" w:hAnsi="黑体"/>
          <w:b/>
        </w:rPr>
      </w:pPr>
      <w:r>
        <w:rPr>
          <w:rFonts w:ascii="黑体" w:eastAsia="黑体" w:hAnsi="黑体" w:hint="eastAsia"/>
          <w:b w:val="0"/>
        </w:rPr>
        <w:lastRenderedPageBreak/>
        <w:t>第一部分 单位</w:t>
      </w:r>
      <w:r>
        <w:rPr>
          <w:rStyle w:val="1Char"/>
          <w:rFonts w:ascii="黑体" w:eastAsia="黑体" w:hAnsi="黑体" w:hint="eastAsia"/>
        </w:rPr>
        <w:t>概况</w:t>
      </w:r>
      <w:bookmarkEnd w:id="13"/>
      <w:bookmarkEnd w:id="14"/>
    </w:p>
    <w:p w:rsidR="000959AA" w:rsidRDefault="00953201">
      <w:pPr>
        <w:pStyle w:val="2"/>
        <w:rPr>
          <w:rStyle w:val="2Char"/>
          <w:rFonts w:ascii="黑体" w:eastAsia="黑体" w:hAnsi="黑体"/>
        </w:rPr>
      </w:pPr>
      <w:bookmarkStart w:id="15" w:name="_Toc15377197"/>
      <w:bookmarkStart w:id="16" w:name="_Toc15396600"/>
      <w:r>
        <w:rPr>
          <w:rStyle w:val="2Char"/>
          <w:rFonts w:ascii="黑体" w:eastAsia="黑体" w:hAnsi="黑体" w:hint="eastAsia"/>
        </w:rPr>
        <w:t>一、职能简介</w:t>
      </w:r>
    </w:p>
    <w:p w:rsidR="000959AA" w:rsidRDefault="00953201">
      <w:pPr>
        <w:ind w:firstLineChars="250" w:firstLine="800"/>
        <w:rPr>
          <w:rFonts w:ascii="仿宋" w:eastAsia="仿宋" w:hAnsi="仿宋"/>
          <w:sz w:val="32"/>
          <w:szCs w:val="32"/>
        </w:rPr>
      </w:pPr>
      <w:r>
        <w:rPr>
          <w:rFonts w:ascii="仿宋" w:eastAsia="仿宋" w:hAnsi="仿宋" w:hint="eastAsia"/>
          <w:sz w:val="32"/>
          <w:szCs w:val="32"/>
        </w:rPr>
        <w:t>宜宾市妇幼保健院主要承担辖区</w:t>
      </w:r>
      <w:proofErr w:type="gramStart"/>
      <w:r>
        <w:rPr>
          <w:rFonts w:ascii="仿宋" w:eastAsia="仿宋" w:hAnsi="仿宋" w:hint="eastAsia"/>
          <w:sz w:val="32"/>
          <w:szCs w:val="32"/>
        </w:rPr>
        <w:t>内妇女</w:t>
      </w:r>
      <w:proofErr w:type="gramEnd"/>
      <w:r>
        <w:rPr>
          <w:rFonts w:ascii="仿宋" w:eastAsia="仿宋" w:hAnsi="仿宋" w:hint="eastAsia"/>
          <w:sz w:val="32"/>
          <w:szCs w:val="32"/>
        </w:rPr>
        <w:t>保健、儿童保健、围产期保健、妇女常见病防治、助产技术服务、出生缺陷综合防治等医疗保健服务，开展计划生育术服务、婚前医学检查、孕前优生健康检查等工作；负责妇幼保健和计划生育技术服务培训、科研、信息管理、适宜技术推广、项目管理、服务质量检测等业务管理工作；对下级服务机构进行技术指导与培训。</w:t>
      </w:r>
    </w:p>
    <w:p w:rsidR="000959AA" w:rsidRDefault="00953201">
      <w:pPr>
        <w:pStyle w:val="2"/>
        <w:rPr>
          <w:rFonts w:ascii="黑体" w:eastAsia="黑体" w:hAnsi="黑体"/>
          <w:b w:val="0"/>
        </w:rPr>
      </w:pPr>
      <w:r>
        <w:rPr>
          <w:rFonts w:ascii="黑体" w:eastAsia="黑体" w:hAnsi="黑体" w:hint="eastAsia"/>
          <w:b w:val="0"/>
        </w:rPr>
        <w:t>二、2021年重点工作</w:t>
      </w:r>
      <w:bookmarkEnd w:id="15"/>
      <w:bookmarkEnd w:id="16"/>
      <w:r>
        <w:rPr>
          <w:rFonts w:ascii="黑体" w:eastAsia="黑体" w:hAnsi="黑体" w:hint="eastAsia"/>
          <w:b w:val="0"/>
        </w:rPr>
        <w:t>完成情况</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t>1、党建引领高质量发展</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t>牢牢把握公立医院党的建设总体要求，深入贯彻落实党的十九届五中全</w:t>
      </w:r>
      <w:r w:rsidR="00CB4D96">
        <w:rPr>
          <w:rFonts w:ascii="仿宋" w:eastAsia="仿宋" w:hAnsi="仿宋" w:hint="eastAsia"/>
          <w:sz w:val="32"/>
          <w:szCs w:val="32"/>
        </w:rPr>
        <w:t>会</w:t>
      </w:r>
      <w:r>
        <w:rPr>
          <w:rFonts w:ascii="仿宋" w:eastAsia="仿宋" w:hAnsi="仿宋" w:hint="eastAsia"/>
          <w:sz w:val="32"/>
          <w:szCs w:val="32"/>
        </w:rPr>
        <w:t>、六中全会，省委十一届九次、十次全会及市委五届十次、十一次全会精神，以庆祝中国共产党成立100周年为主线，紧紧围绕中心工作，深入开展党史学习教育,为推动中心高质量发展提供坚强的思想政治和组织保障。</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t>2、监督审计规范内部运行</w:t>
      </w:r>
    </w:p>
    <w:p w:rsidR="000959AA" w:rsidRDefault="00753F32">
      <w:pPr>
        <w:ind w:firstLineChars="200" w:firstLine="640"/>
        <w:rPr>
          <w:rFonts w:ascii="仿宋" w:eastAsia="仿宋" w:hAnsi="仿宋"/>
          <w:sz w:val="32"/>
          <w:szCs w:val="32"/>
        </w:rPr>
      </w:pPr>
      <w:r>
        <w:rPr>
          <w:rFonts w:ascii="仿宋" w:eastAsia="仿宋" w:hAnsi="仿宋" w:hint="eastAsia"/>
          <w:sz w:val="32"/>
          <w:szCs w:val="32"/>
        </w:rPr>
        <w:t>强化廉政宣传教育，落实党风廉政“一岗双责”，严格执行八项规定</w:t>
      </w:r>
      <w:r w:rsidR="00953201">
        <w:rPr>
          <w:rFonts w:ascii="仿宋" w:eastAsia="仿宋" w:hAnsi="仿宋" w:hint="eastAsia"/>
          <w:sz w:val="32"/>
          <w:szCs w:val="32"/>
        </w:rPr>
        <w:t>、“九不准”等制度规范，大力开展“不合理</w:t>
      </w:r>
      <w:r w:rsidR="00953201">
        <w:rPr>
          <w:rFonts w:ascii="仿宋" w:eastAsia="仿宋" w:hAnsi="仿宋" w:hint="eastAsia"/>
          <w:sz w:val="32"/>
          <w:szCs w:val="32"/>
        </w:rPr>
        <w:lastRenderedPageBreak/>
        <w:t>医疗检查”等突出问题专项整治，加强内部监督管理，做细日常监督。2021年，针对不合理医疗行为共计处罚87人次，院内约谈2人次，扣款1.37万元；基建项目内审发现问题4条，审减16万元，审减率14.3%。</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t>3、新院区建设项目加快推进</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t>2021年，迁建项目一期完成投资计划8000万元，目前主体工程已封顶，正在进行负一楼、负二楼的墙体建设；二期目前已进入竣工验收收尾阶段；三期项目已获得立项、可</w:t>
      </w:r>
      <w:proofErr w:type="gramStart"/>
      <w:r>
        <w:rPr>
          <w:rFonts w:ascii="仿宋" w:eastAsia="仿宋" w:hAnsi="仿宋" w:hint="eastAsia"/>
          <w:sz w:val="32"/>
          <w:szCs w:val="32"/>
        </w:rPr>
        <w:t>研</w:t>
      </w:r>
      <w:proofErr w:type="gramEnd"/>
      <w:r>
        <w:rPr>
          <w:rFonts w:ascii="仿宋" w:eastAsia="仿宋" w:hAnsi="仿宋" w:hint="eastAsia"/>
          <w:sz w:val="32"/>
          <w:szCs w:val="32"/>
        </w:rPr>
        <w:t>批复，已完成地方专项债券“两案一书”编制工作。</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t>4、</w:t>
      </w:r>
      <w:proofErr w:type="gramStart"/>
      <w:r>
        <w:rPr>
          <w:rFonts w:ascii="仿宋" w:eastAsia="仿宋" w:hAnsi="仿宋" w:hint="eastAsia"/>
          <w:sz w:val="32"/>
          <w:szCs w:val="32"/>
        </w:rPr>
        <w:t>医改重点</w:t>
      </w:r>
      <w:proofErr w:type="gramEnd"/>
      <w:r>
        <w:rPr>
          <w:rFonts w:ascii="仿宋" w:eastAsia="仿宋" w:hAnsi="仿宋" w:hint="eastAsia"/>
          <w:sz w:val="32"/>
          <w:szCs w:val="32"/>
        </w:rPr>
        <w:t>指标持续改善</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t>医药卫生体制改革重点指标中的数量指标、质量指标、满意度指标、社会效益指标和</w:t>
      </w:r>
      <w:proofErr w:type="gramStart"/>
      <w:r>
        <w:rPr>
          <w:rFonts w:ascii="仿宋" w:eastAsia="仿宋" w:hAnsi="仿宋" w:hint="eastAsia"/>
          <w:sz w:val="32"/>
          <w:szCs w:val="32"/>
        </w:rPr>
        <w:t>可</w:t>
      </w:r>
      <w:proofErr w:type="gramEnd"/>
      <w:r>
        <w:rPr>
          <w:rFonts w:ascii="仿宋" w:eastAsia="仿宋" w:hAnsi="仿宋" w:hint="eastAsia"/>
          <w:sz w:val="32"/>
          <w:szCs w:val="32"/>
        </w:rPr>
        <w:t>持续影响指标均达标。其中，医疗服务收入占医疗收入比例、公立医院出院患者四级手术比例、满意度较上年度明显提升；公立医院资产负债率、公立医院出院患者平均医药费用增长比例较上年度明显降低。</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t>5、全周期妇幼健康服务质量明显提高</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t>四大业务部的临床和保健业务进一步融合，学科建设、科研能力和医疗护理质量持续提升，通过产前筛查机构验收，为妇女、儿童提供连续性医疗保健服务。2021年，门急诊病人116203人次，同比增长7.39%；出院4779人次，同比增长6.15%；床位使用率75.36%，同比增长5.3个百分点；院内活产1639人，同比降低16.63%；手术1747台次，同比</w:t>
      </w:r>
      <w:r>
        <w:rPr>
          <w:rFonts w:ascii="仿宋" w:eastAsia="仿宋" w:hAnsi="仿宋" w:hint="eastAsia"/>
          <w:sz w:val="32"/>
          <w:szCs w:val="32"/>
        </w:rPr>
        <w:lastRenderedPageBreak/>
        <w:t>降低13.81%；出院患者微创</w:t>
      </w:r>
      <w:proofErr w:type="gramStart"/>
      <w:r>
        <w:rPr>
          <w:rFonts w:ascii="仿宋" w:eastAsia="仿宋" w:hAnsi="仿宋" w:hint="eastAsia"/>
          <w:sz w:val="32"/>
          <w:szCs w:val="32"/>
        </w:rPr>
        <w:t>手术占</w:t>
      </w:r>
      <w:proofErr w:type="gramEnd"/>
      <w:r>
        <w:rPr>
          <w:rFonts w:ascii="仿宋" w:eastAsia="仿宋" w:hAnsi="仿宋" w:hint="eastAsia"/>
          <w:sz w:val="32"/>
          <w:szCs w:val="32"/>
        </w:rPr>
        <w:t>比3.66%，同比增长0.86个百分点；门诊服务对象预约诊疗率53.2%，同比增长33.5个百分点；医院感染发病率0.17%；危重病人抢救成功率100%；优质护理病房覆盖率100%；开展新技术新项目10项，申报科研课题5项，承办省级</w:t>
      </w:r>
      <w:proofErr w:type="gramStart"/>
      <w:r>
        <w:rPr>
          <w:rFonts w:ascii="仿宋" w:eastAsia="仿宋" w:hAnsi="仿宋" w:hint="eastAsia"/>
          <w:sz w:val="32"/>
          <w:szCs w:val="32"/>
        </w:rPr>
        <w:t>继教项目</w:t>
      </w:r>
      <w:proofErr w:type="gramEnd"/>
      <w:r>
        <w:rPr>
          <w:rFonts w:ascii="仿宋" w:eastAsia="仿宋" w:hAnsi="仿宋" w:hint="eastAsia"/>
          <w:sz w:val="32"/>
          <w:szCs w:val="32"/>
        </w:rPr>
        <w:t>5项，市级</w:t>
      </w:r>
      <w:proofErr w:type="gramStart"/>
      <w:r>
        <w:rPr>
          <w:rFonts w:ascii="仿宋" w:eastAsia="仿宋" w:hAnsi="仿宋" w:hint="eastAsia"/>
          <w:sz w:val="32"/>
          <w:szCs w:val="32"/>
        </w:rPr>
        <w:t>继教项目</w:t>
      </w:r>
      <w:proofErr w:type="gramEnd"/>
      <w:r>
        <w:rPr>
          <w:rFonts w:ascii="仿宋" w:eastAsia="仿宋" w:hAnsi="仿宋" w:hint="eastAsia"/>
          <w:sz w:val="32"/>
          <w:szCs w:val="32"/>
        </w:rPr>
        <w:t>7项。</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t>6、辖区母婴安全更有保障</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t>重点做好</w:t>
      </w:r>
      <w:proofErr w:type="gramStart"/>
      <w:r>
        <w:rPr>
          <w:rFonts w:ascii="仿宋" w:eastAsia="仿宋" w:hAnsi="仿宋" w:hint="eastAsia"/>
          <w:sz w:val="32"/>
          <w:szCs w:val="32"/>
        </w:rPr>
        <w:t>孕</w:t>
      </w:r>
      <w:proofErr w:type="gramEnd"/>
      <w:r>
        <w:rPr>
          <w:rFonts w:ascii="仿宋" w:eastAsia="仿宋" w:hAnsi="仿宋" w:hint="eastAsia"/>
          <w:sz w:val="32"/>
          <w:szCs w:val="32"/>
        </w:rPr>
        <w:t>产妇和儿童系统保健、危急重症</w:t>
      </w:r>
      <w:proofErr w:type="gramStart"/>
      <w:r>
        <w:rPr>
          <w:rFonts w:ascii="仿宋" w:eastAsia="仿宋" w:hAnsi="仿宋" w:hint="eastAsia"/>
          <w:sz w:val="32"/>
          <w:szCs w:val="32"/>
        </w:rPr>
        <w:t>孕</w:t>
      </w:r>
      <w:proofErr w:type="gramEnd"/>
      <w:r>
        <w:rPr>
          <w:rFonts w:ascii="仿宋" w:eastAsia="仿宋" w:hAnsi="仿宋" w:hint="eastAsia"/>
          <w:sz w:val="32"/>
          <w:szCs w:val="32"/>
        </w:rPr>
        <w:t>产妇和新生儿急救管理、健康促进等工作，全市妇幼健康水平不断提高，服务指标逐年向好。2021年1-11月，全市</w:t>
      </w:r>
      <w:proofErr w:type="gramStart"/>
      <w:r>
        <w:rPr>
          <w:rFonts w:ascii="仿宋" w:eastAsia="仿宋" w:hAnsi="仿宋" w:hint="eastAsia"/>
          <w:sz w:val="32"/>
          <w:szCs w:val="32"/>
        </w:rPr>
        <w:t>孕</w:t>
      </w:r>
      <w:proofErr w:type="gramEnd"/>
      <w:r>
        <w:rPr>
          <w:rFonts w:ascii="仿宋" w:eastAsia="仿宋" w:hAnsi="仿宋" w:hint="eastAsia"/>
          <w:sz w:val="32"/>
          <w:szCs w:val="32"/>
        </w:rPr>
        <w:t>产妇死亡率10.34/10万，5岁以下儿童死亡率3.04/千，婴儿死亡率1.69/千，新生儿死亡率1.07/千，均达到两</w:t>
      </w:r>
      <w:proofErr w:type="gramStart"/>
      <w:r>
        <w:rPr>
          <w:rFonts w:ascii="仿宋" w:eastAsia="仿宋" w:hAnsi="仿宋" w:hint="eastAsia"/>
          <w:sz w:val="32"/>
          <w:szCs w:val="32"/>
        </w:rPr>
        <w:t>纲指标</w:t>
      </w:r>
      <w:proofErr w:type="gramEnd"/>
      <w:r>
        <w:rPr>
          <w:rFonts w:ascii="仿宋" w:eastAsia="仿宋" w:hAnsi="仿宋" w:hint="eastAsia"/>
          <w:sz w:val="32"/>
          <w:szCs w:val="32"/>
        </w:rPr>
        <w:t>要求。</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t>7、出生缺陷综合防治成效显著</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t>落实出生缺陷综合防治三级预防，逐步构建涵盖婚前、孕前、孕期、新生儿和儿童各阶段的出生缺陷综合防治体系，力争为群众提供</w:t>
      </w:r>
      <w:proofErr w:type="gramStart"/>
      <w:r>
        <w:rPr>
          <w:rFonts w:ascii="仿宋" w:eastAsia="仿宋" w:hAnsi="仿宋" w:hint="eastAsia"/>
          <w:sz w:val="32"/>
          <w:szCs w:val="32"/>
        </w:rPr>
        <w:t>公平可</w:t>
      </w:r>
      <w:proofErr w:type="gramEnd"/>
      <w:r>
        <w:rPr>
          <w:rFonts w:ascii="仿宋" w:eastAsia="仿宋" w:hAnsi="仿宋" w:hint="eastAsia"/>
          <w:sz w:val="32"/>
          <w:szCs w:val="32"/>
        </w:rPr>
        <w:t>及、优质高效的出生缺陷综合防治服务。2021年，全年完成婚检25696.5对，婚检率96.31%，免费孕前优生检查项目实际检查36248人，任务完成率为109.14 %；全市机构活产33007人，其中听力筛查31094人，筛查率为94.14%；新生儿遗传代谢病（四病）筛查32818人，筛查率99.43%，确诊遗传代谢病患儿224人；串联质谱多项遗传代谢病筛查22717人，筛查率68.82%，确诊患儿4人。</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lastRenderedPageBreak/>
        <w:t>8、艾滋病母婴传播率持续为零</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t>2021年，孕产妇艾滋病检测率100%，孕期检测率99.98%，孕早期检测率96.93%，均达到省、市目标要求；HIV感染</w:t>
      </w:r>
      <w:proofErr w:type="gramStart"/>
      <w:r>
        <w:rPr>
          <w:rFonts w:ascii="仿宋" w:eastAsia="仿宋" w:hAnsi="仿宋" w:hint="eastAsia"/>
          <w:sz w:val="32"/>
          <w:szCs w:val="32"/>
        </w:rPr>
        <w:t>孕</w:t>
      </w:r>
      <w:proofErr w:type="gramEnd"/>
      <w:r>
        <w:rPr>
          <w:rFonts w:ascii="仿宋" w:eastAsia="仿宋" w:hAnsi="仿宋" w:hint="eastAsia"/>
          <w:sz w:val="32"/>
          <w:szCs w:val="32"/>
        </w:rPr>
        <w:t>产妇</w:t>
      </w:r>
      <w:proofErr w:type="gramStart"/>
      <w:r>
        <w:rPr>
          <w:rFonts w:ascii="仿宋" w:eastAsia="仿宋" w:hAnsi="仿宋" w:hint="eastAsia"/>
          <w:sz w:val="32"/>
          <w:szCs w:val="32"/>
        </w:rPr>
        <w:t>孕</w:t>
      </w:r>
      <w:proofErr w:type="gramEnd"/>
      <w:r>
        <w:rPr>
          <w:rFonts w:ascii="仿宋" w:eastAsia="仿宋" w:hAnsi="仿宋" w:hint="eastAsia"/>
          <w:sz w:val="32"/>
          <w:szCs w:val="32"/>
        </w:rPr>
        <w:t>早期服药率100%，分娩儿童服药率100%；分娩HIV暴露儿童12人，成活12人，三次早诊检测结果均为阴性，全市2021年母婴传播率为0。</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t>9、常态化疫情防控措施落实落细</w:t>
      </w:r>
    </w:p>
    <w:p w:rsidR="000959AA" w:rsidRDefault="00953201">
      <w:pPr>
        <w:ind w:firstLineChars="200" w:firstLine="640"/>
        <w:rPr>
          <w:rFonts w:ascii="仿宋" w:eastAsia="仿宋" w:hAnsi="仿宋"/>
          <w:sz w:val="32"/>
          <w:szCs w:val="32"/>
        </w:rPr>
      </w:pPr>
      <w:r>
        <w:rPr>
          <w:rFonts w:ascii="仿宋" w:eastAsia="仿宋" w:hAnsi="仿宋" w:hint="eastAsia"/>
          <w:sz w:val="32"/>
          <w:szCs w:val="32"/>
        </w:rPr>
        <w:t>严格执行三级预检分诊制度，发挥“哨点”作用，进一步规范流程，完善制度，落实“四早”要求，守住防控底线，保障妇女儿童健康。2021年，新冠肺炎密接人员0报告、疑似患者0报告、确诊患者0报告，</w:t>
      </w:r>
      <w:proofErr w:type="gramStart"/>
      <w:r>
        <w:rPr>
          <w:rFonts w:ascii="仿宋" w:eastAsia="仿宋" w:hAnsi="仿宋" w:hint="eastAsia"/>
          <w:sz w:val="32"/>
          <w:szCs w:val="32"/>
        </w:rPr>
        <w:t>院感</w:t>
      </w:r>
      <w:proofErr w:type="gramEnd"/>
      <w:r>
        <w:rPr>
          <w:rFonts w:ascii="仿宋" w:eastAsia="仿宋" w:hAnsi="仿宋" w:hint="eastAsia"/>
          <w:sz w:val="32"/>
          <w:szCs w:val="32"/>
        </w:rPr>
        <w:t>0报告。</w:t>
      </w:r>
    </w:p>
    <w:p w:rsidR="000959AA" w:rsidRDefault="00953201">
      <w:pPr>
        <w:widowControl/>
        <w:ind w:firstLineChars="200" w:firstLine="640"/>
        <w:jc w:val="left"/>
        <w:rPr>
          <w:rFonts w:ascii="仿宋" w:eastAsia="仿宋" w:hAnsi="仿宋"/>
          <w:sz w:val="32"/>
          <w:szCs w:val="32"/>
        </w:rPr>
      </w:pPr>
      <w:r>
        <w:rPr>
          <w:rFonts w:ascii="仿宋" w:eastAsia="仿宋" w:hAnsi="仿宋"/>
          <w:sz w:val="32"/>
          <w:szCs w:val="32"/>
        </w:rPr>
        <w:br w:type="page"/>
      </w:r>
    </w:p>
    <w:p w:rsidR="000959AA" w:rsidRDefault="00953201">
      <w:pPr>
        <w:pStyle w:val="1"/>
        <w:ind w:right="440"/>
        <w:jc w:val="center"/>
        <w:rPr>
          <w:rStyle w:val="1Char"/>
          <w:rFonts w:ascii="黑体" w:eastAsia="黑体" w:hAnsi="黑体"/>
          <w:bCs/>
        </w:rPr>
      </w:pPr>
      <w:bookmarkStart w:id="17" w:name="_Toc15377204"/>
      <w:bookmarkStart w:id="18" w:name="_Toc15396602"/>
      <w:r>
        <w:rPr>
          <w:rFonts w:ascii="黑体" w:eastAsia="黑体" w:hAnsi="黑体" w:hint="eastAsia"/>
          <w:b w:val="0"/>
        </w:rPr>
        <w:lastRenderedPageBreak/>
        <w:t>第二部分 2021年度</w:t>
      </w:r>
      <w:r>
        <w:rPr>
          <w:rStyle w:val="1Char"/>
          <w:rFonts w:ascii="黑体" w:eastAsia="黑体" w:hAnsi="黑体" w:hint="eastAsia"/>
          <w:bCs/>
        </w:rPr>
        <w:t>单位决算情况说明</w:t>
      </w:r>
      <w:bookmarkEnd w:id="17"/>
      <w:bookmarkEnd w:id="18"/>
    </w:p>
    <w:p w:rsidR="000959AA" w:rsidRDefault="000959AA"/>
    <w:p w:rsidR="000959AA" w:rsidRDefault="00953201">
      <w:pPr>
        <w:pStyle w:val="aa"/>
        <w:numPr>
          <w:ilvl w:val="0"/>
          <w:numId w:val="1"/>
        </w:numPr>
        <w:spacing w:line="600" w:lineRule="exact"/>
        <w:ind w:firstLineChars="0"/>
        <w:outlineLvl w:val="1"/>
        <w:rPr>
          <w:rStyle w:val="2Char"/>
          <w:rFonts w:ascii="黑体" w:eastAsia="黑体" w:hAnsi="黑体"/>
          <w:b w:val="0"/>
        </w:rPr>
      </w:pPr>
      <w:bookmarkStart w:id="19" w:name="_Toc15377205"/>
      <w:bookmarkStart w:id="20"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19"/>
      <w:bookmarkEnd w:id="20"/>
    </w:p>
    <w:p w:rsidR="000959AA" w:rsidRDefault="00953201">
      <w:pPr>
        <w:spacing w:line="600" w:lineRule="exact"/>
        <w:ind w:firstLineChars="200" w:firstLine="640"/>
        <w:rPr>
          <w:rFonts w:ascii="仿宋_GB2312" w:eastAsia="仿宋_GB2312" w:hAnsi="仿宋"/>
          <w:sz w:val="32"/>
          <w:szCs w:val="32"/>
        </w:rPr>
      </w:pPr>
      <w:r>
        <w:rPr>
          <w:rFonts w:ascii="仿宋" w:eastAsia="仿宋" w:hAnsi="仿宋" w:hint="eastAsia"/>
          <w:sz w:val="32"/>
          <w:szCs w:val="32"/>
        </w:rPr>
        <w:t>2021年度收、支总计26574.1万元。与2020年相比，收、支总计减少1506.94</w:t>
      </w:r>
      <w:r w:rsidR="004606C4">
        <w:rPr>
          <w:rFonts w:ascii="仿宋" w:eastAsia="仿宋" w:hAnsi="仿宋" w:hint="eastAsia"/>
          <w:sz w:val="32"/>
          <w:szCs w:val="32"/>
        </w:rPr>
        <w:t>万</w:t>
      </w:r>
      <w:r>
        <w:rPr>
          <w:rFonts w:ascii="仿宋" w:eastAsia="仿宋" w:hAnsi="仿宋" w:hint="eastAsia"/>
          <w:sz w:val="32"/>
          <w:szCs w:val="32"/>
        </w:rPr>
        <w:t>元，下降5.37%。主要变动原因是控制总体支出，调整各类项目支出，迁建二期工程已完成主体工程建设</w:t>
      </w:r>
      <w:r>
        <w:rPr>
          <w:rFonts w:ascii="仿宋_GB2312" w:eastAsia="仿宋_GB2312" w:hAnsi="仿宋" w:hint="eastAsia"/>
          <w:sz w:val="32"/>
          <w:szCs w:val="32"/>
        </w:rPr>
        <w:t>。</w:t>
      </w:r>
    </w:p>
    <w:p w:rsidR="000959AA" w:rsidRDefault="000959AA">
      <w:pPr>
        <w:pStyle w:val="a0"/>
        <w:ind w:left="840" w:hanging="420"/>
      </w:pPr>
    </w:p>
    <w:p w:rsidR="000959AA" w:rsidRDefault="00953201">
      <w:pPr>
        <w:spacing w:line="360" w:lineRule="auto"/>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：收、支决算总计变动情况图）（单位：万元）</w:t>
      </w:r>
    </w:p>
    <w:p w:rsidR="000959AA" w:rsidRDefault="00953201">
      <w:pPr>
        <w:pStyle w:val="a4"/>
        <w:spacing w:before="93"/>
        <w:ind w:firstLineChars="200" w:firstLine="600"/>
      </w:pPr>
      <w:r>
        <w:rPr>
          <w:noProof/>
        </w:rPr>
        <w:drawing>
          <wp:inline distT="0" distB="0" distL="114300" distR="114300">
            <wp:extent cx="4971415" cy="2534285"/>
            <wp:effectExtent l="4445" t="4445" r="15240" b="1397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959AA" w:rsidRDefault="00953201">
      <w:pPr>
        <w:pStyle w:val="aa"/>
        <w:spacing w:line="360" w:lineRule="auto"/>
        <w:ind w:left="640" w:firstLineChars="0" w:firstLine="0"/>
        <w:outlineLvl w:val="1"/>
        <w:rPr>
          <w:rStyle w:val="2Char1"/>
          <w:rFonts w:ascii="黑体" w:eastAsia="黑体" w:hAnsi="黑体"/>
          <w:b w:val="0"/>
        </w:rPr>
      </w:pPr>
      <w:bookmarkStart w:id="21" w:name="_Toc15377206"/>
      <w:bookmarkStart w:id="22" w:name="_Toc15396604"/>
      <w:r>
        <w:rPr>
          <w:rStyle w:val="2Char"/>
          <w:rFonts w:ascii="黑体" w:eastAsia="黑体" w:hAnsi="黑体" w:hint="eastAsia"/>
          <w:b w:val="0"/>
        </w:rPr>
        <w:t>二、</w:t>
      </w:r>
      <w:r>
        <w:rPr>
          <w:rFonts w:ascii="黑体" w:eastAsia="黑体" w:hAnsi="黑体" w:hint="eastAsia"/>
          <w:sz w:val="32"/>
          <w:szCs w:val="32"/>
        </w:rPr>
        <w:t>收</w:t>
      </w:r>
      <w:r>
        <w:rPr>
          <w:rStyle w:val="2Char1"/>
          <w:rFonts w:ascii="黑体" w:eastAsia="黑体" w:hAnsi="黑体" w:hint="eastAsia"/>
          <w:b w:val="0"/>
        </w:rPr>
        <w:t>入决算情况说明</w:t>
      </w:r>
    </w:p>
    <w:bookmarkEnd w:id="21"/>
    <w:bookmarkEnd w:id="22"/>
    <w:p w:rsidR="000959AA" w:rsidRDefault="00953201">
      <w:pPr>
        <w:spacing w:line="596"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2021年实现总收入10401.16万元，其中：财政拨款2487.95万元，占23.92%；事业收入7906.49万元，占76.02%；其他收入6.72万元，占0.06%。</w:t>
      </w:r>
    </w:p>
    <w:p w:rsidR="000959AA" w:rsidRDefault="000959AA">
      <w:pPr>
        <w:pStyle w:val="a0"/>
        <w:ind w:left="840" w:hanging="420"/>
      </w:pPr>
    </w:p>
    <w:p w:rsidR="000959AA" w:rsidRDefault="00953201">
      <w:pPr>
        <w:spacing w:line="596" w:lineRule="exact"/>
        <w:ind w:firstLineChars="200" w:firstLine="640"/>
        <w:outlineLvl w:val="1"/>
        <w:rPr>
          <w:rFonts w:ascii="仿宋_GB2312" w:eastAsia="仿宋_GB2312" w:hAnsi="仿宋"/>
          <w:sz w:val="32"/>
          <w:szCs w:val="32"/>
        </w:rPr>
      </w:pPr>
      <w:r>
        <w:rPr>
          <w:rFonts w:ascii="仿宋" w:eastAsia="仿宋" w:hAnsi="仿宋" w:hint="eastAsia"/>
          <w:sz w:val="32"/>
          <w:szCs w:val="32"/>
        </w:rPr>
        <w:t>（图</w:t>
      </w:r>
      <w:r>
        <w:rPr>
          <w:rFonts w:ascii="仿宋" w:eastAsia="仿宋" w:hAnsi="仿宋"/>
          <w:sz w:val="32"/>
          <w:szCs w:val="32"/>
        </w:rPr>
        <w:t>2</w:t>
      </w:r>
      <w:r>
        <w:rPr>
          <w:rFonts w:ascii="仿宋" w:eastAsia="仿宋" w:hAnsi="仿宋" w:hint="eastAsia"/>
          <w:sz w:val="32"/>
          <w:szCs w:val="32"/>
        </w:rPr>
        <w:t>：2020年收入决算结构图）</w:t>
      </w:r>
    </w:p>
    <w:p w:rsidR="000959AA" w:rsidRDefault="00953201">
      <w:pPr>
        <w:spacing w:line="596" w:lineRule="exact"/>
        <w:ind w:firstLineChars="200" w:firstLine="420"/>
        <w:outlineLvl w:val="1"/>
        <w:rPr>
          <w:rStyle w:val="2Char"/>
          <w:rFonts w:ascii="黑体" w:eastAsia="黑体" w:hAnsi="黑体"/>
          <w:b w:val="0"/>
        </w:rPr>
      </w:pPr>
      <w:r>
        <w:rPr>
          <w:noProof/>
        </w:rPr>
        <w:lastRenderedPageBreak/>
        <w:drawing>
          <wp:anchor distT="0" distB="0" distL="114300" distR="114300" simplePos="0" relativeHeight="251666432" behindDoc="1" locked="0" layoutInCell="1" allowOverlap="1">
            <wp:simplePos x="0" y="0"/>
            <wp:positionH relativeFrom="column">
              <wp:posOffset>213995</wp:posOffset>
            </wp:positionH>
            <wp:positionV relativeFrom="paragraph">
              <wp:posOffset>168910</wp:posOffset>
            </wp:positionV>
            <wp:extent cx="4943475" cy="2409825"/>
            <wp:effectExtent l="4445" t="4445" r="5080" b="81280"/>
            <wp:wrapTight wrapText="bothSides">
              <wp:wrapPolygon edited="0">
                <wp:start x="-19" y="-40"/>
                <wp:lineTo x="-19" y="21475"/>
                <wp:lineTo x="21539" y="21475"/>
                <wp:lineTo x="21539" y="-40"/>
                <wp:lineTo x="-19" y="-40"/>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23" w:name="_Toc15377207"/>
      <w:bookmarkStart w:id="24" w:name="_Toc15396605"/>
      <w:r>
        <w:rPr>
          <w:rFonts w:ascii="黑体" w:eastAsia="黑体" w:hAnsi="黑体" w:hint="eastAsia"/>
          <w:sz w:val="32"/>
          <w:szCs w:val="32"/>
        </w:rPr>
        <w:t>三、支</w:t>
      </w:r>
      <w:r>
        <w:rPr>
          <w:rStyle w:val="2Char"/>
          <w:rFonts w:ascii="黑体" w:eastAsia="黑体" w:hAnsi="黑体" w:hint="eastAsia"/>
          <w:b w:val="0"/>
        </w:rPr>
        <w:t>出决算情况说明</w:t>
      </w:r>
      <w:bookmarkEnd w:id="23"/>
      <w:bookmarkEnd w:id="24"/>
    </w:p>
    <w:p w:rsidR="000959AA" w:rsidRDefault="00953201">
      <w:pPr>
        <w:snapToGrid w:val="0"/>
        <w:spacing w:line="520" w:lineRule="exact"/>
        <w:ind w:firstLineChars="200" w:firstLine="640"/>
        <w:rPr>
          <w:rFonts w:ascii="仿宋_GB2312" w:eastAsia="仿宋_GB2312" w:hAnsi="仿宋"/>
          <w:b/>
          <w:sz w:val="32"/>
          <w:szCs w:val="32"/>
        </w:rPr>
      </w:pPr>
      <w:r>
        <w:rPr>
          <w:rFonts w:ascii="仿宋" w:eastAsia="仿宋" w:hAnsi="仿宋" w:hint="eastAsia"/>
          <w:sz w:val="32"/>
          <w:szCs w:val="32"/>
        </w:rPr>
        <w:t>2021年总支出10565.81万元，基本支出</w:t>
      </w:r>
      <w:r>
        <w:rPr>
          <w:rFonts w:ascii="仿宋_GB2312" w:eastAsia="仿宋_GB2312" w:hAnsi="仿宋" w:hint="eastAsia"/>
          <w:sz w:val="32"/>
          <w:szCs w:val="32"/>
        </w:rPr>
        <w:t>9377.34万元，占总支出的88.75%；项目支出1188.47万元，占总支出的11.25%；无上缴上级支、经营支出、对附属单位补助支出。</w:t>
      </w:r>
    </w:p>
    <w:p w:rsidR="000959AA" w:rsidRDefault="00953201">
      <w:pPr>
        <w:spacing w:line="600" w:lineRule="exact"/>
        <w:ind w:firstLineChars="200" w:firstLine="640"/>
        <w:rPr>
          <w:rFonts w:ascii="仿宋" w:eastAsia="仿宋" w:hAnsi="仿宋"/>
          <w:sz w:val="32"/>
          <w:szCs w:val="32"/>
        </w:rPr>
      </w:pPr>
      <w:r>
        <w:rPr>
          <w:rFonts w:ascii="仿宋" w:eastAsia="仿宋" w:hAnsi="仿宋" w:hint="eastAsia"/>
          <w:sz w:val="32"/>
          <w:szCs w:val="32"/>
        </w:rPr>
        <w:t>2021年支出决算结构图：</w:t>
      </w:r>
    </w:p>
    <w:p w:rsidR="000959AA" w:rsidRDefault="00953201">
      <w:pPr>
        <w:spacing w:line="600" w:lineRule="exact"/>
        <w:ind w:firstLineChars="200" w:firstLine="420"/>
        <w:rPr>
          <w:rFonts w:ascii="仿宋_GB2312" w:eastAsia="仿宋_GB2312"/>
          <w:sz w:val="32"/>
          <w:szCs w:val="32"/>
        </w:rPr>
      </w:pPr>
      <w:r>
        <w:rPr>
          <w:noProof/>
        </w:rPr>
        <w:drawing>
          <wp:anchor distT="0" distB="0" distL="114300" distR="114300" simplePos="0" relativeHeight="251667456" behindDoc="0" locked="0" layoutInCell="1" allowOverlap="1">
            <wp:simplePos x="0" y="0"/>
            <wp:positionH relativeFrom="column">
              <wp:posOffset>223520</wp:posOffset>
            </wp:positionH>
            <wp:positionV relativeFrom="paragraph">
              <wp:posOffset>102870</wp:posOffset>
            </wp:positionV>
            <wp:extent cx="4572000" cy="2743200"/>
            <wp:effectExtent l="4445" t="4445" r="14605" b="14605"/>
            <wp:wrapSquare wrapText="bothSides"/>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0959AA" w:rsidRDefault="000959AA">
      <w:pPr>
        <w:pStyle w:val="a4"/>
        <w:spacing w:before="93"/>
      </w:pPr>
    </w:p>
    <w:p w:rsidR="000959AA" w:rsidRDefault="000959AA">
      <w:pPr>
        <w:pStyle w:val="a4"/>
        <w:spacing w:before="93"/>
      </w:pPr>
    </w:p>
    <w:p w:rsidR="000959AA" w:rsidRDefault="000959AA">
      <w:pPr>
        <w:pStyle w:val="a4"/>
        <w:spacing w:before="93"/>
      </w:pPr>
    </w:p>
    <w:p w:rsidR="000959AA" w:rsidRDefault="000959AA">
      <w:pPr>
        <w:pStyle w:val="a4"/>
        <w:spacing w:before="93"/>
      </w:pPr>
    </w:p>
    <w:p w:rsidR="000959AA" w:rsidRDefault="000959AA">
      <w:pPr>
        <w:pStyle w:val="a4"/>
        <w:spacing w:before="93"/>
      </w:pPr>
    </w:p>
    <w:p w:rsidR="000959AA" w:rsidRDefault="000959AA">
      <w:pPr>
        <w:pStyle w:val="a4"/>
        <w:spacing w:before="93"/>
      </w:pPr>
    </w:p>
    <w:p w:rsidR="000959AA" w:rsidRDefault="00953201">
      <w:pPr>
        <w:spacing w:line="600" w:lineRule="exact"/>
        <w:ind w:firstLineChars="200" w:firstLine="640"/>
        <w:outlineLvl w:val="1"/>
        <w:rPr>
          <w:rStyle w:val="2Char"/>
          <w:rFonts w:ascii="黑体" w:eastAsia="黑体" w:hAnsi="黑体"/>
          <w:b w:val="0"/>
        </w:rPr>
      </w:pPr>
      <w:bookmarkStart w:id="25" w:name="_Toc15396606"/>
      <w:bookmarkStart w:id="26" w:name="_Toc15377208"/>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5"/>
      <w:bookmarkEnd w:id="26"/>
    </w:p>
    <w:p w:rsidR="000959AA" w:rsidRDefault="00953201">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21年财政拨款收、支总计5222.50万元。与</w:t>
      </w:r>
      <w:r>
        <w:rPr>
          <w:rFonts w:ascii="仿宋" w:eastAsia="仿宋" w:hAnsi="仿宋"/>
          <w:sz w:val="32"/>
          <w:szCs w:val="32"/>
        </w:rPr>
        <w:t>20</w:t>
      </w:r>
      <w:r>
        <w:rPr>
          <w:rFonts w:ascii="仿宋" w:eastAsia="仿宋" w:hAnsi="仿宋" w:hint="eastAsia"/>
          <w:sz w:val="32"/>
          <w:szCs w:val="32"/>
        </w:rPr>
        <w:t>20年相比，财政拨款收、支总计减少2335.94万元，下降30.91</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sz w:val="32"/>
          <w:szCs w:val="32"/>
        </w:rPr>
        <w:lastRenderedPageBreak/>
        <w:t>主要变动原因是：2020年存在2019年结存支出迁建项目款，2021年已完成前期建设工程。</w:t>
      </w:r>
    </w:p>
    <w:p w:rsidR="000959AA" w:rsidRDefault="00953201">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w:t>
      </w:r>
    </w:p>
    <w:p w:rsidR="000959AA" w:rsidRDefault="00953201">
      <w:pPr>
        <w:pStyle w:val="a0"/>
        <w:ind w:left="840" w:hanging="420"/>
        <w:rPr>
          <w:rFonts w:ascii="仿宋" w:eastAsia="仿宋" w:hAnsi="仿宋"/>
          <w:sz w:val="32"/>
          <w:szCs w:val="32"/>
        </w:rPr>
      </w:pPr>
      <w:r>
        <w:rPr>
          <w:noProof/>
        </w:rP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959AA" w:rsidRDefault="00953201">
      <w:pPr>
        <w:spacing w:line="600" w:lineRule="exact"/>
        <w:ind w:firstLineChars="200" w:firstLine="640"/>
        <w:outlineLvl w:val="1"/>
        <w:rPr>
          <w:rStyle w:val="2Char"/>
          <w:rFonts w:ascii="黑体" w:eastAsia="黑体" w:hAnsi="黑体"/>
          <w:b w:val="0"/>
        </w:rPr>
      </w:pPr>
      <w:bookmarkStart w:id="27" w:name="_Toc15377209"/>
      <w:bookmarkStart w:id="28"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7"/>
      <w:bookmarkEnd w:id="28"/>
    </w:p>
    <w:p w:rsidR="000959AA" w:rsidRDefault="00953201">
      <w:pPr>
        <w:spacing w:line="600" w:lineRule="exact"/>
        <w:ind w:firstLineChars="200" w:firstLine="643"/>
        <w:outlineLvl w:val="2"/>
        <w:rPr>
          <w:rFonts w:ascii="仿宋" w:eastAsia="仿宋" w:hAnsi="仿宋"/>
          <w:b/>
          <w:sz w:val="32"/>
          <w:szCs w:val="32"/>
        </w:rPr>
      </w:pPr>
      <w:bookmarkStart w:id="29" w:name="_Toc15377210"/>
      <w:r>
        <w:rPr>
          <w:rFonts w:ascii="仿宋" w:eastAsia="仿宋" w:hAnsi="仿宋" w:hint="eastAsia"/>
          <w:b/>
          <w:sz w:val="32"/>
          <w:szCs w:val="32"/>
        </w:rPr>
        <w:t>（一）一般公共预算财政拨款支出决算总体情况</w:t>
      </w:r>
      <w:bookmarkEnd w:id="29"/>
    </w:p>
    <w:p w:rsidR="000959AA" w:rsidRDefault="00953201">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21年一般公共预算财政拨款支出2611.25万元，占本年支出合计10565.81万元的24.71</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20年相比，一般公共预算财政拨款支出减少1044.67万元，下降28.57</w:t>
      </w:r>
      <w:r>
        <w:rPr>
          <w:rFonts w:ascii="仿宋" w:eastAsia="仿宋" w:hAnsi="仿宋"/>
          <w:sz w:val="32"/>
          <w:szCs w:val="32"/>
        </w:rPr>
        <w:t>%</w:t>
      </w:r>
      <w:r>
        <w:rPr>
          <w:rFonts w:ascii="仿宋" w:eastAsia="仿宋" w:hAnsi="仿宋" w:hint="eastAsia"/>
          <w:sz w:val="32"/>
          <w:szCs w:val="32"/>
        </w:rPr>
        <w:t>。主要变动原因是2020年存在迁建项目款1157.51万元，2021年进入后期装修装饰阶段，基建项目支出减少。</w:t>
      </w:r>
    </w:p>
    <w:p w:rsidR="000959AA" w:rsidRDefault="00953201">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w:t>
      </w:r>
    </w:p>
    <w:p w:rsidR="000959AA" w:rsidRDefault="00953201">
      <w:pPr>
        <w:pStyle w:val="a0"/>
        <w:ind w:left="840" w:hanging="420"/>
      </w:pPr>
      <w:r>
        <w:rPr>
          <w:noProof/>
        </w:rPr>
        <w:drawing>
          <wp:anchor distT="0" distB="0" distL="114300" distR="114300" simplePos="0" relativeHeight="251668480" behindDoc="1" locked="0" layoutInCell="1" allowOverlap="1">
            <wp:simplePos x="0" y="0"/>
            <wp:positionH relativeFrom="column">
              <wp:posOffset>109220</wp:posOffset>
            </wp:positionH>
            <wp:positionV relativeFrom="paragraph">
              <wp:posOffset>13970</wp:posOffset>
            </wp:positionV>
            <wp:extent cx="5324475" cy="1981835"/>
            <wp:effectExtent l="4445" t="4445" r="5080" b="13970"/>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0959AA" w:rsidRDefault="000959AA">
      <w:pPr>
        <w:pStyle w:val="a4"/>
        <w:spacing w:before="93"/>
        <w:rPr>
          <w:rFonts w:ascii="仿宋" w:eastAsia="仿宋" w:hAnsi="仿宋"/>
          <w:sz w:val="32"/>
          <w:szCs w:val="32"/>
        </w:rPr>
      </w:pPr>
    </w:p>
    <w:p w:rsidR="000959AA" w:rsidRDefault="000959AA">
      <w:pPr>
        <w:pStyle w:val="a4"/>
        <w:spacing w:before="93"/>
        <w:rPr>
          <w:rFonts w:ascii="仿宋" w:eastAsia="仿宋" w:hAnsi="仿宋"/>
          <w:sz w:val="32"/>
          <w:szCs w:val="32"/>
        </w:rPr>
      </w:pPr>
    </w:p>
    <w:p w:rsidR="000959AA" w:rsidRDefault="000959AA">
      <w:pPr>
        <w:pStyle w:val="a4"/>
        <w:spacing w:before="93"/>
        <w:rPr>
          <w:rFonts w:ascii="仿宋" w:eastAsia="仿宋" w:hAnsi="仿宋"/>
          <w:sz w:val="32"/>
          <w:szCs w:val="32"/>
        </w:rPr>
      </w:pPr>
    </w:p>
    <w:p w:rsidR="000959AA" w:rsidRDefault="000959AA">
      <w:pPr>
        <w:pStyle w:val="a4"/>
        <w:spacing w:before="93"/>
        <w:rPr>
          <w:rFonts w:ascii="仿宋" w:eastAsia="仿宋" w:hAnsi="仿宋"/>
          <w:sz w:val="32"/>
          <w:szCs w:val="32"/>
        </w:rPr>
      </w:pPr>
    </w:p>
    <w:p w:rsidR="000959AA" w:rsidRDefault="00953201">
      <w:pPr>
        <w:spacing w:line="600" w:lineRule="exact"/>
        <w:ind w:firstLineChars="200" w:firstLine="643"/>
        <w:outlineLvl w:val="2"/>
        <w:rPr>
          <w:rFonts w:ascii="仿宋" w:eastAsia="仿宋" w:hAnsi="仿宋"/>
          <w:b/>
          <w:sz w:val="32"/>
          <w:szCs w:val="32"/>
        </w:rPr>
      </w:pPr>
      <w:bookmarkStart w:id="30" w:name="_Toc15377211"/>
      <w:r>
        <w:rPr>
          <w:rFonts w:ascii="仿宋" w:eastAsia="仿宋" w:hAnsi="仿宋" w:hint="eastAsia"/>
          <w:b/>
          <w:sz w:val="32"/>
          <w:szCs w:val="32"/>
        </w:rPr>
        <w:t>（二）一般公共预算财政拨款支出决算结构情况</w:t>
      </w:r>
      <w:bookmarkEnd w:id="30"/>
    </w:p>
    <w:p w:rsidR="000959AA" w:rsidRDefault="00953201">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21年一般公共预算财政拨款支出2611.25万元，主要用于以下方面</w:t>
      </w:r>
      <w:r>
        <w:rPr>
          <w:rFonts w:ascii="仿宋" w:eastAsia="仿宋" w:hAnsi="仿宋"/>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支出258.92万元，占9.91</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2309.34万元，占88.44</w:t>
      </w:r>
      <w:r>
        <w:rPr>
          <w:rFonts w:ascii="仿宋" w:eastAsia="仿宋" w:hAnsi="仿宋"/>
          <w:sz w:val="32"/>
          <w:szCs w:val="32"/>
        </w:rPr>
        <w:t>%</w:t>
      </w:r>
      <w:r>
        <w:rPr>
          <w:rFonts w:ascii="仿宋" w:eastAsia="仿宋" w:hAnsi="仿宋" w:hint="eastAsia"/>
          <w:sz w:val="32"/>
          <w:szCs w:val="32"/>
        </w:rPr>
        <w:t>；灾害防治及应急管理支出43万元，占1.65%；。</w:t>
      </w:r>
    </w:p>
    <w:p w:rsidR="000959AA" w:rsidRDefault="00953201">
      <w:pPr>
        <w:spacing w:line="600" w:lineRule="exact"/>
        <w:ind w:firstLineChars="200" w:firstLine="640"/>
        <w:rPr>
          <w:rFonts w:ascii="仿宋" w:eastAsia="仿宋" w:hAnsi="仿宋"/>
          <w:sz w:val="32"/>
          <w:szCs w:val="32"/>
        </w:rPr>
      </w:pPr>
      <w:r>
        <w:rPr>
          <w:rFonts w:ascii="仿宋" w:eastAsia="仿宋" w:hAnsi="仿宋" w:hint="eastAsia"/>
          <w:sz w:val="32"/>
          <w:szCs w:val="32"/>
        </w:rPr>
        <w:t>一般公共预算财政拨款支出决算结构图：</w:t>
      </w:r>
    </w:p>
    <w:p w:rsidR="000959AA" w:rsidRDefault="00953201">
      <w:pPr>
        <w:spacing w:line="600" w:lineRule="exact"/>
        <w:ind w:firstLineChars="200" w:firstLine="420"/>
        <w:outlineLvl w:val="2"/>
        <w:rPr>
          <w:rFonts w:ascii="仿宋" w:eastAsia="仿宋" w:hAnsi="仿宋"/>
          <w:b/>
          <w:sz w:val="32"/>
          <w:szCs w:val="32"/>
        </w:rPr>
      </w:pPr>
      <w:bookmarkStart w:id="31" w:name="_Toc15377212"/>
      <w:r>
        <w:rPr>
          <w:noProof/>
        </w:rPr>
        <w:drawing>
          <wp:anchor distT="0" distB="0" distL="114300" distR="114300" simplePos="0" relativeHeight="251663360" behindDoc="0" locked="0" layoutInCell="1" allowOverlap="1">
            <wp:simplePos x="0" y="0"/>
            <wp:positionH relativeFrom="column">
              <wp:posOffset>33020</wp:posOffset>
            </wp:positionH>
            <wp:positionV relativeFrom="paragraph">
              <wp:posOffset>184785</wp:posOffset>
            </wp:positionV>
            <wp:extent cx="5333365" cy="2809875"/>
            <wp:effectExtent l="4445" t="4445" r="15240" b="5080"/>
            <wp:wrapSquare wrapText="bothSides"/>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仿宋" w:eastAsia="仿宋" w:hAnsi="仿宋" w:hint="eastAsia"/>
          <w:b/>
          <w:sz w:val="32"/>
          <w:szCs w:val="32"/>
        </w:rPr>
        <w:t>（三）一般公共预算财政拨款支出决算具体情况</w:t>
      </w:r>
      <w:bookmarkEnd w:id="31"/>
    </w:p>
    <w:p w:rsidR="000959AA" w:rsidRDefault="00953201">
      <w:pPr>
        <w:spacing w:line="600" w:lineRule="exact"/>
        <w:ind w:firstLineChars="200" w:firstLine="643"/>
        <w:outlineLvl w:val="2"/>
        <w:rPr>
          <w:rStyle w:val="a8"/>
          <w:rFonts w:ascii="仿宋" w:eastAsia="仿宋" w:hAnsi="仿宋"/>
          <w:bCs/>
          <w:sz w:val="32"/>
          <w:szCs w:val="32"/>
        </w:rPr>
      </w:pPr>
      <w:bookmarkStart w:id="32" w:name="_Toc15377444"/>
      <w:bookmarkStart w:id="33" w:name="_Toc15377213"/>
      <w:bookmarkStart w:id="34" w:name="_Toc15378460"/>
      <w:r>
        <w:rPr>
          <w:rFonts w:ascii="仿宋" w:eastAsia="仿宋" w:hAnsi="仿宋" w:hint="eastAsia"/>
          <w:b/>
          <w:sz w:val="32"/>
          <w:szCs w:val="32"/>
        </w:rPr>
        <w:t>2021年一般公共预算支出决算数为2611.25万元</w:t>
      </w:r>
      <w:r>
        <w:rPr>
          <w:rFonts w:ascii="仿宋" w:eastAsia="仿宋" w:hAnsi="仿宋" w:hint="eastAsia"/>
          <w:sz w:val="32"/>
          <w:szCs w:val="32"/>
        </w:rPr>
        <w:t>，</w:t>
      </w:r>
      <w:r>
        <w:rPr>
          <w:rStyle w:val="a8"/>
          <w:rFonts w:ascii="仿宋" w:eastAsia="仿宋" w:hAnsi="仿宋" w:hint="eastAsia"/>
          <w:bCs/>
          <w:sz w:val="32"/>
          <w:szCs w:val="32"/>
        </w:rPr>
        <w:t>完成预算100</w:t>
      </w:r>
      <w:r>
        <w:rPr>
          <w:rStyle w:val="a8"/>
          <w:rFonts w:ascii="仿宋" w:eastAsia="仿宋" w:hAnsi="仿宋"/>
          <w:bCs/>
          <w:sz w:val="32"/>
          <w:szCs w:val="32"/>
        </w:rPr>
        <w:t>%</w:t>
      </w:r>
      <w:r>
        <w:rPr>
          <w:rStyle w:val="a8"/>
          <w:rFonts w:ascii="仿宋" w:eastAsia="仿宋" w:hAnsi="仿宋" w:hint="eastAsia"/>
          <w:bCs/>
          <w:sz w:val="32"/>
          <w:szCs w:val="32"/>
        </w:rPr>
        <w:t>。其中：</w:t>
      </w:r>
      <w:bookmarkEnd w:id="32"/>
      <w:bookmarkEnd w:id="33"/>
      <w:bookmarkEnd w:id="34"/>
    </w:p>
    <w:p w:rsidR="000959AA" w:rsidRDefault="00953201">
      <w:pPr>
        <w:spacing w:line="600" w:lineRule="exact"/>
        <w:ind w:firstLineChars="200" w:firstLine="643"/>
      </w:pPr>
      <w:r>
        <w:rPr>
          <w:rStyle w:val="a8"/>
          <w:rFonts w:ascii="仿宋" w:eastAsia="仿宋" w:hAnsi="仿宋" w:hint="eastAsia"/>
          <w:bCs/>
          <w:sz w:val="32"/>
          <w:szCs w:val="32"/>
        </w:rPr>
        <w:t>1、社会保障和就业（类）行政事业单位养老支出（款）事业单位离退休（项）</w:t>
      </w:r>
      <w:r>
        <w:rPr>
          <w:rStyle w:val="a8"/>
          <w:rFonts w:ascii="仿宋" w:eastAsia="仿宋" w:hAnsi="仿宋"/>
          <w:bCs/>
          <w:sz w:val="32"/>
          <w:szCs w:val="32"/>
        </w:rPr>
        <w:t xml:space="preserve">: </w:t>
      </w:r>
      <w:r>
        <w:rPr>
          <w:rStyle w:val="a8"/>
          <w:rFonts w:ascii="仿宋" w:eastAsia="仿宋" w:hAnsi="仿宋" w:hint="eastAsia"/>
          <w:b w:val="0"/>
          <w:bCs/>
          <w:sz w:val="32"/>
          <w:szCs w:val="32"/>
        </w:rPr>
        <w:t>支出决算为81.44万元，完成预算100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0959AA" w:rsidRDefault="00953201">
      <w:pPr>
        <w:spacing w:line="600" w:lineRule="exact"/>
        <w:ind w:firstLineChars="200" w:firstLine="643"/>
        <w:rPr>
          <w:rStyle w:val="a8"/>
          <w:rFonts w:ascii="仿宋" w:eastAsia="仿宋" w:hAnsi="仿宋"/>
          <w:b w:val="0"/>
          <w:bCs/>
          <w:sz w:val="32"/>
          <w:szCs w:val="32"/>
        </w:rPr>
      </w:pPr>
      <w:r>
        <w:rPr>
          <w:rFonts w:ascii="仿宋" w:eastAsia="仿宋" w:hAnsi="仿宋" w:hint="eastAsia"/>
          <w:b/>
          <w:bCs/>
          <w:sz w:val="32"/>
          <w:szCs w:val="32"/>
        </w:rPr>
        <w:t>2、</w:t>
      </w:r>
      <w:r>
        <w:rPr>
          <w:rStyle w:val="a8"/>
          <w:rFonts w:ascii="仿宋" w:eastAsia="仿宋" w:hAnsi="仿宋" w:hint="eastAsia"/>
          <w:bCs/>
          <w:sz w:val="32"/>
          <w:szCs w:val="32"/>
        </w:rPr>
        <w:t>社会保障和就业（类）行政事业单位养老支出（款）机关事业单位基本养老保险缴费支出（项）</w:t>
      </w:r>
      <w:r>
        <w:rPr>
          <w:rStyle w:val="a8"/>
          <w:rFonts w:ascii="仿宋" w:eastAsia="仿宋" w:hAnsi="仿宋"/>
          <w:bCs/>
          <w:sz w:val="32"/>
          <w:szCs w:val="32"/>
        </w:rPr>
        <w:t xml:space="preserve">: </w:t>
      </w:r>
      <w:r>
        <w:rPr>
          <w:rStyle w:val="a8"/>
          <w:rFonts w:ascii="仿宋" w:eastAsia="仿宋" w:hAnsi="仿宋" w:hint="eastAsia"/>
          <w:b w:val="0"/>
          <w:bCs/>
          <w:sz w:val="32"/>
          <w:szCs w:val="32"/>
        </w:rPr>
        <w:t>支出决算为</w:t>
      </w:r>
      <w:r>
        <w:rPr>
          <w:rStyle w:val="a8"/>
          <w:rFonts w:ascii="仿宋" w:eastAsia="仿宋" w:hAnsi="仿宋" w:hint="eastAsia"/>
          <w:b w:val="0"/>
          <w:bCs/>
          <w:sz w:val="32"/>
          <w:szCs w:val="32"/>
        </w:rPr>
        <w:lastRenderedPageBreak/>
        <w:t>136.07万元，完成预算100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0959AA" w:rsidRDefault="00953201">
      <w:pPr>
        <w:spacing w:line="600" w:lineRule="exact"/>
        <w:ind w:firstLineChars="200" w:firstLine="643"/>
        <w:rPr>
          <w:rFonts w:ascii="仿宋" w:eastAsia="仿宋" w:hAnsi="仿宋"/>
          <w:b/>
          <w:bCs/>
          <w:sz w:val="32"/>
          <w:szCs w:val="32"/>
        </w:rPr>
      </w:pPr>
      <w:r>
        <w:rPr>
          <w:rFonts w:ascii="仿宋" w:eastAsia="仿宋" w:hAnsi="仿宋" w:hint="eastAsia"/>
          <w:b/>
          <w:bCs/>
          <w:sz w:val="32"/>
          <w:szCs w:val="32"/>
        </w:rPr>
        <w:t>3、</w:t>
      </w:r>
      <w:r>
        <w:rPr>
          <w:rStyle w:val="a8"/>
          <w:rFonts w:ascii="仿宋" w:eastAsia="仿宋" w:hAnsi="仿宋" w:hint="eastAsia"/>
          <w:bCs/>
          <w:sz w:val="32"/>
          <w:szCs w:val="32"/>
        </w:rPr>
        <w:t>社会保障和就业（类）行政事业单位养老支出（款）机关事业单位职业年金缴费支出（项）</w:t>
      </w:r>
      <w:r>
        <w:rPr>
          <w:rStyle w:val="a8"/>
          <w:rFonts w:ascii="仿宋" w:eastAsia="仿宋" w:hAnsi="仿宋"/>
          <w:bCs/>
          <w:sz w:val="32"/>
          <w:szCs w:val="32"/>
        </w:rPr>
        <w:t xml:space="preserve">: </w:t>
      </w:r>
      <w:r>
        <w:rPr>
          <w:rStyle w:val="a8"/>
          <w:rFonts w:ascii="仿宋" w:eastAsia="仿宋" w:hAnsi="仿宋" w:hint="eastAsia"/>
          <w:b w:val="0"/>
          <w:bCs/>
          <w:sz w:val="32"/>
          <w:szCs w:val="32"/>
        </w:rPr>
        <w:t>支出决算为22.82万元，完成预算100%。</w:t>
      </w:r>
    </w:p>
    <w:p w:rsidR="000959AA" w:rsidRDefault="00953201">
      <w:pPr>
        <w:spacing w:line="600" w:lineRule="exact"/>
        <w:ind w:firstLineChars="200" w:firstLine="643"/>
        <w:rPr>
          <w:rFonts w:ascii="仿宋" w:eastAsia="仿宋" w:hAnsi="仿宋"/>
          <w:b/>
          <w:bCs/>
          <w:sz w:val="32"/>
          <w:szCs w:val="32"/>
        </w:rPr>
      </w:pPr>
      <w:r>
        <w:rPr>
          <w:rFonts w:ascii="仿宋" w:eastAsia="仿宋" w:hAnsi="仿宋" w:hint="eastAsia"/>
          <w:b/>
          <w:bCs/>
          <w:sz w:val="32"/>
          <w:szCs w:val="32"/>
        </w:rPr>
        <w:t>4、</w:t>
      </w:r>
      <w:r>
        <w:rPr>
          <w:rStyle w:val="a8"/>
          <w:rFonts w:ascii="仿宋" w:eastAsia="仿宋" w:hAnsi="仿宋" w:hint="eastAsia"/>
          <w:bCs/>
          <w:sz w:val="32"/>
          <w:szCs w:val="32"/>
        </w:rPr>
        <w:t>社会保障和就业（类）行政事业单位养老支出（款）其他行政事业单位养老支出（项）</w:t>
      </w:r>
      <w:r>
        <w:rPr>
          <w:rStyle w:val="a8"/>
          <w:rFonts w:ascii="仿宋" w:eastAsia="仿宋" w:hAnsi="仿宋"/>
          <w:bCs/>
          <w:sz w:val="32"/>
          <w:szCs w:val="32"/>
        </w:rPr>
        <w:t xml:space="preserve">: </w:t>
      </w:r>
      <w:r>
        <w:rPr>
          <w:rStyle w:val="a8"/>
          <w:rFonts w:ascii="仿宋" w:eastAsia="仿宋" w:hAnsi="仿宋" w:hint="eastAsia"/>
          <w:b w:val="0"/>
          <w:bCs/>
          <w:sz w:val="32"/>
          <w:szCs w:val="32"/>
        </w:rPr>
        <w:t>支出决算为18.58万元，完成预算100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0959AA" w:rsidRDefault="00953201">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t>5</w:t>
      </w:r>
      <w:r>
        <w:rPr>
          <w:rStyle w:val="a8"/>
          <w:rFonts w:ascii="仿宋" w:eastAsia="仿宋" w:hAnsi="仿宋"/>
          <w:bCs/>
          <w:sz w:val="32"/>
          <w:szCs w:val="32"/>
        </w:rPr>
        <w:t>.</w:t>
      </w:r>
      <w:r>
        <w:rPr>
          <w:rFonts w:ascii="仿宋" w:eastAsia="仿宋" w:hAnsi="仿宋" w:hint="eastAsia"/>
          <w:b/>
          <w:bCs/>
          <w:sz w:val="32"/>
          <w:szCs w:val="32"/>
        </w:rPr>
        <w:t>卫生健康（类）卫生健康管理事务（款）</w:t>
      </w:r>
      <w:r>
        <w:rPr>
          <w:rStyle w:val="a8"/>
          <w:rFonts w:ascii="仿宋" w:eastAsia="仿宋" w:hAnsi="仿宋" w:hint="eastAsia"/>
          <w:bCs/>
          <w:sz w:val="32"/>
          <w:szCs w:val="32"/>
        </w:rPr>
        <w:t>其他卫生健康管理事务支出（项）</w:t>
      </w:r>
      <w:r>
        <w:rPr>
          <w:rStyle w:val="a8"/>
          <w:rFonts w:ascii="仿宋" w:eastAsia="仿宋" w:hAnsi="仿宋"/>
          <w:bCs/>
          <w:sz w:val="32"/>
          <w:szCs w:val="32"/>
        </w:rPr>
        <w:t>:</w:t>
      </w:r>
      <w:r>
        <w:rPr>
          <w:rStyle w:val="a8"/>
          <w:rFonts w:ascii="仿宋" w:eastAsia="仿宋" w:hAnsi="仿宋" w:hint="eastAsia"/>
          <w:b w:val="0"/>
          <w:bCs/>
          <w:sz w:val="32"/>
          <w:szCs w:val="32"/>
        </w:rPr>
        <w:t>支出决算为5.23万元，完成预算100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0959AA" w:rsidRDefault="00953201">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t>6</w:t>
      </w:r>
      <w:r>
        <w:rPr>
          <w:rStyle w:val="a8"/>
          <w:rFonts w:ascii="仿宋" w:eastAsia="仿宋" w:hAnsi="仿宋"/>
          <w:bCs/>
          <w:sz w:val="32"/>
          <w:szCs w:val="32"/>
        </w:rPr>
        <w:t>.</w:t>
      </w:r>
      <w:r>
        <w:rPr>
          <w:rFonts w:ascii="仿宋" w:eastAsia="仿宋" w:hAnsi="仿宋" w:hint="eastAsia"/>
          <w:b/>
          <w:bCs/>
          <w:sz w:val="32"/>
          <w:szCs w:val="32"/>
        </w:rPr>
        <w:t>卫生健康（类）公立医院（款）</w:t>
      </w:r>
      <w:r>
        <w:rPr>
          <w:rStyle w:val="a8"/>
          <w:rFonts w:ascii="仿宋" w:eastAsia="仿宋" w:hAnsi="仿宋" w:hint="eastAsia"/>
          <w:bCs/>
          <w:sz w:val="32"/>
          <w:szCs w:val="32"/>
        </w:rPr>
        <w:t>妇幼保健医院（项）（</w:t>
      </w:r>
      <w:r>
        <w:rPr>
          <w:rStyle w:val="a8"/>
          <w:rFonts w:ascii="仿宋" w:eastAsia="仿宋" w:hAnsi="仿宋"/>
          <w:bCs/>
          <w:sz w:val="32"/>
          <w:szCs w:val="32"/>
        </w:rPr>
        <w:t>:</w:t>
      </w:r>
      <w:r>
        <w:rPr>
          <w:rStyle w:val="a8"/>
          <w:rFonts w:ascii="仿宋" w:eastAsia="仿宋" w:hAnsi="仿宋" w:hint="eastAsia"/>
          <w:b w:val="0"/>
          <w:bCs/>
          <w:sz w:val="32"/>
          <w:szCs w:val="32"/>
        </w:rPr>
        <w:t>支出决算为315.33万元，完成预算100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0959AA" w:rsidRDefault="00953201">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t>7</w:t>
      </w:r>
      <w:r>
        <w:rPr>
          <w:rStyle w:val="a8"/>
          <w:rFonts w:ascii="仿宋" w:eastAsia="仿宋" w:hAnsi="仿宋"/>
          <w:bCs/>
          <w:sz w:val="32"/>
          <w:szCs w:val="32"/>
        </w:rPr>
        <w:t>.</w:t>
      </w:r>
      <w:r>
        <w:rPr>
          <w:rFonts w:ascii="仿宋" w:eastAsia="仿宋" w:hAnsi="仿宋" w:hint="eastAsia"/>
          <w:b/>
          <w:bCs/>
          <w:sz w:val="32"/>
          <w:szCs w:val="32"/>
        </w:rPr>
        <w:t>卫生健康（类）公共卫生（款）</w:t>
      </w:r>
      <w:r>
        <w:rPr>
          <w:rStyle w:val="a8"/>
          <w:rFonts w:ascii="仿宋" w:eastAsia="仿宋" w:hAnsi="仿宋" w:hint="eastAsia"/>
          <w:bCs/>
          <w:sz w:val="32"/>
          <w:szCs w:val="32"/>
        </w:rPr>
        <w:t>妇幼保健机构（项）</w:t>
      </w:r>
      <w:r>
        <w:rPr>
          <w:rStyle w:val="a8"/>
          <w:rFonts w:ascii="仿宋" w:eastAsia="仿宋" w:hAnsi="仿宋"/>
          <w:bCs/>
          <w:sz w:val="32"/>
          <w:szCs w:val="32"/>
        </w:rPr>
        <w:t>:</w:t>
      </w:r>
      <w:r>
        <w:rPr>
          <w:rStyle w:val="a8"/>
          <w:rFonts w:ascii="仿宋" w:eastAsia="仿宋" w:hAnsi="仿宋" w:hint="eastAsia"/>
          <w:b w:val="0"/>
          <w:bCs/>
          <w:sz w:val="32"/>
          <w:szCs w:val="32"/>
        </w:rPr>
        <w:t>支出决算为1492.08万元，完成预算100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0959AA" w:rsidRDefault="00953201">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t>8</w:t>
      </w:r>
      <w:r>
        <w:rPr>
          <w:rStyle w:val="a8"/>
          <w:rFonts w:ascii="仿宋" w:eastAsia="仿宋" w:hAnsi="仿宋"/>
          <w:bCs/>
          <w:sz w:val="32"/>
          <w:szCs w:val="32"/>
        </w:rPr>
        <w:t>.</w:t>
      </w:r>
      <w:r>
        <w:rPr>
          <w:rFonts w:ascii="仿宋" w:eastAsia="仿宋" w:hAnsi="仿宋" w:hint="eastAsia"/>
          <w:b/>
          <w:bCs/>
          <w:sz w:val="32"/>
          <w:szCs w:val="32"/>
        </w:rPr>
        <w:t>卫生健康（类）公共卫生（款）</w:t>
      </w:r>
      <w:r>
        <w:rPr>
          <w:rStyle w:val="a8"/>
          <w:rFonts w:ascii="仿宋" w:eastAsia="仿宋" w:hAnsi="仿宋" w:hint="eastAsia"/>
          <w:bCs/>
          <w:sz w:val="32"/>
          <w:szCs w:val="32"/>
        </w:rPr>
        <w:t>基本公共卫生服务（项）</w:t>
      </w:r>
      <w:r>
        <w:rPr>
          <w:rStyle w:val="a8"/>
          <w:rFonts w:ascii="仿宋" w:eastAsia="仿宋" w:hAnsi="仿宋"/>
          <w:bCs/>
          <w:sz w:val="32"/>
          <w:szCs w:val="32"/>
        </w:rPr>
        <w:t>:</w:t>
      </w:r>
      <w:r>
        <w:rPr>
          <w:rStyle w:val="a8"/>
          <w:rFonts w:ascii="仿宋" w:eastAsia="仿宋" w:hAnsi="仿宋" w:hint="eastAsia"/>
          <w:b w:val="0"/>
          <w:bCs/>
          <w:sz w:val="32"/>
          <w:szCs w:val="32"/>
        </w:rPr>
        <w:t>支出决算为39.83万元，完成预算100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0959AA" w:rsidRDefault="00953201">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t>9</w:t>
      </w:r>
      <w:r>
        <w:rPr>
          <w:rStyle w:val="a8"/>
          <w:rFonts w:ascii="仿宋" w:eastAsia="仿宋" w:hAnsi="仿宋"/>
          <w:bCs/>
          <w:sz w:val="32"/>
          <w:szCs w:val="32"/>
        </w:rPr>
        <w:t>.</w:t>
      </w:r>
      <w:r>
        <w:rPr>
          <w:rFonts w:ascii="仿宋" w:eastAsia="仿宋" w:hAnsi="仿宋" w:hint="eastAsia"/>
          <w:b/>
          <w:bCs/>
          <w:sz w:val="32"/>
          <w:szCs w:val="32"/>
        </w:rPr>
        <w:t>卫生健康（类）公共卫生（款）</w:t>
      </w:r>
      <w:r>
        <w:rPr>
          <w:rStyle w:val="a8"/>
          <w:rFonts w:ascii="仿宋" w:eastAsia="仿宋" w:hAnsi="仿宋" w:hint="eastAsia"/>
          <w:bCs/>
          <w:sz w:val="32"/>
          <w:szCs w:val="32"/>
        </w:rPr>
        <w:t>重大公共卫生服务（项）</w:t>
      </w:r>
      <w:r>
        <w:rPr>
          <w:rStyle w:val="a8"/>
          <w:rFonts w:ascii="仿宋" w:eastAsia="仿宋" w:hAnsi="仿宋"/>
          <w:bCs/>
          <w:sz w:val="32"/>
          <w:szCs w:val="32"/>
        </w:rPr>
        <w:t>:</w:t>
      </w:r>
      <w:r>
        <w:rPr>
          <w:rStyle w:val="a8"/>
          <w:rFonts w:ascii="仿宋" w:eastAsia="仿宋" w:hAnsi="仿宋" w:hint="eastAsia"/>
          <w:b w:val="0"/>
          <w:bCs/>
          <w:sz w:val="32"/>
          <w:szCs w:val="32"/>
        </w:rPr>
        <w:t>支出决算为42.62万元，完成预算100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0959AA" w:rsidRDefault="00953201">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t>10</w:t>
      </w:r>
      <w:r>
        <w:rPr>
          <w:rStyle w:val="a8"/>
          <w:rFonts w:ascii="仿宋" w:eastAsia="仿宋" w:hAnsi="仿宋"/>
          <w:bCs/>
          <w:sz w:val="32"/>
          <w:szCs w:val="32"/>
        </w:rPr>
        <w:t>.</w:t>
      </w:r>
      <w:r>
        <w:rPr>
          <w:rFonts w:ascii="仿宋" w:eastAsia="仿宋" w:hAnsi="仿宋" w:hint="eastAsia"/>
          <w:b/>
          <w:bCs/>
          <w:sz w:val="32"/>
          <w:szCs w:val="32"/>
        </w:rPr>
        <w:t>卫生健康（类）公共卫生（款）</w:t>
      </w:r>
      <w:r>
        <w:rPr>
          <w:rStyle w:val="a8"/>
          <w:rFonts w:ascii="仿宋" w:eastAsia="仿宋" w:hAnsi="仿宋" w:hint="eastAsia"/>
          <w:bCs/>
          <w:sz w:val="32"/>
          <w:szCs w:val="32"/>
        </w:rPr>
        <w:t>其他公共卫生服务（项）</w:t>
      </w:r>
      <w:r>
        <w:rPr>
          <w:rStyle w:val="a8"/>
          <w:rFonts w:ascii="仿宋" w:eastAsia="仿宋" w:hAnsi="仿宋"/>
          <w:bCs/>
          <w:sz w:val="32"/>
          <w:szCs w:val="32"/>
        </w:rPr>
        <w:t>:</w:t>
      </w:r>
      <w:r>
        <w:rPr>
          <w:rStyle w:val="a8"/>
          <w:rFonts w:ascii="仿宋" w:eastAsia="仿宋" w:hAnsi="仿宋" w:hint="eastAsia"/>
          <w:b w:val="0"/>
          <w:bCs/>
          <w:sz w:val="32"/>
          <w:szCs w:val="32"/>
        </w:rPr>
        <w:t>支出决算为95.67万元，完成预算100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0959AA" w:rsidRDefault="00953201">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t>11</w:t>
      </w:r>
      <w:r>
        <w:rPr>
          <w:rStyle w:val="a8"/>
          <w:rFonts w:ascii="仿宋" w:eastAsia="仿宋" w:hAnsi="仿宋"/>
          <w:bCs/>
          <w:sz w:val="32"/>
          <w:szCs w:val="32"/>
        </w:rPr>
        <w:t>.</w:t>
      </w:r>
      <w:r>
        <w:rPr>
          <w:rFonts w:ascii="仿宋" w:eastAsia="仿宋" w:hAnsi="仿宋" w:hint="eastAsia"/>
          <w:b/>
          <w:bCs/>
          <w:sz w:val="32"/>
          <w:szCs w:val="32"/>
        </w:rPr>
        <w:t>卫生健康（类）行政事业单位医疗（款）</w:t>
      </w:r>
      <w:r>
        <w:rPr>
          <w:rStyle w:val="a8"/>
          <w:rFonts w:ascii="仿宋" w:eastAsia="仿宋" w:hAnsi="仿宋" w:hint="eastAsia"/>
          <w:bCs/>
          <w:sz w:val="32"/>
          <w:szCs w:val="32"/>
        </w:rPr>
        <w:t>事业单位医疗（项）</w:t>
      </w:r>
      <w:r>
        <w:rPr>
          <w:rStyle w:val="a8"/>
          <w:rFonts w:ascii="仿宋" w:eastAsia="仿宋" w:hAnsi="仿宋"/>
          <w:bCs/>
          <w:sz w:val="32"/>
          <w:szCs w:val="32"/>
        </w:rPr>
        <w:t>:</w:t>
      </w:r>
      <w:r>
        <w:rPr>
          <w:rStyle w:val="a8"/>
          <w:rFonts w:ascii="仿宋" w:eastAsia="仿宋" w:hAnsi="仿宋" w:hint="eastAsia"/>
          <w:b w:val="0"/>
          <w:bCs/>
          <w:sz w:val="32"/>
          <w:szCs w:val="32"/>
        </w:rPr>
        <w:t>支出决算为62.09万元，完成预算100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0959AA" w:rsidRDefault="00953201">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t>12</w:t>
      </w:r>
      <w:r>
        <w:rPr>
          <w:rStyle w:val="a8"/>
          <w:rFonts w:ascii="仿宋" w:eastAsia="仿宋" w:hAnsi="仿宋"/>
          <w:bCs/>
          <w:sz w:val="32"/>
          <w:szCs w:val="32"/>
        </w:rPr>
        <w:t>.</w:t>
      </w:r>
      <w:r>
        <w:rPr>
          <w:rFonts w:ascii="仿宋" w:eastAsia="仿宋" w:hAnsi="仿宋" w:hint="eastAsia"/>
          <w:b/>
          <w:bCs/>
          <w:sz w:val="32"/>
          <w:szCs w:val="32"/>
        </w:rPr>
        <w:t>卫生健康（类）行政事业单位医疗（款）其他行政</w:t>
      </w:r>
      <w:r>
        <w:rPr>
          <w:rStyle w:val="a8"/>
          <w:rFonts w:ascii="仿宋" w:eastAsia="仿宋" w:hAnsi="仿宋" w:hint="eastAsia"/>
          <w:bCs/>
          <w:sz w:val="32"/>
          <w:szCs w:val="32"/>
        </w:rPr>
        <w:t>事业单位医疗（项）</w:t>
      </w:r>
      <w:r>
        <w:rPr>
          <w:rStyle w:val="a8"/>
          <w:rFonts w:ascii="仿宋" w:eastAsia="仿宋" w:hAnsi="仿宋"/>
          <w:bCs/>
          <w:sz w:val="32"/>
          <w:szCs w:val="32"/>
        </w:rPr>
        <w:t>:</w:t>
      </w:r>
      <w:r>
        <w:rPr>
          <w:rStyle w:val="a8"/>
          <w:rFonts w:ascii="仿宋" w:eastAsia="仿宋" w:hAnsi="仿宋" w:hint="eastAsia"/>
          <w:b w:val="0"/>
          <w:bCs/>
          <w:sz w:val="32"/>
          <w:szCs w:val="32"/>
        </w:rPr>
        <w:t>支出决算为17.87万元，完成预算100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0959AA" w:rsidRDefault="00953201">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lastRenderedPageBreak/>
        <w:t>13</w:t>
      </w:r>
      <w:r>
        <w:rPr>
          <w:rStyle w:val="a8"/>
          <w:rFonts w:ascii="仿宋" w:eastAsia="仿宋" w:hAnsi="仿宋"/>
          <w:bCs/>
          <w:sz w:val="32"/>
          <w:szCs w:val="32"/>
        </w:rPr>
        <w:t>.</w:t>
      </w:r>
      <w:r>
        <w:rPr>
          <w:rFonts w:ascii="仿宋" w:eastAsia="仿宋" w:hAnsi="仿宋" w:hint="eastAsia"/>
          <w:b/>
          <w:bCs/>
          <w:sz w:val="32"/>
          <w:szCs w:val="32"/>
        </w:rPr>
        <w:t>卫生健康（类）其他卫生健康支出（款）</w:t>
      </w:r>
      <w:r>
        <w:rPr>
          <w:rStyle w:val="a8"/>
          <w:rFonts w:ascii="仿宋" w:eastAsia="仿宋" w:hAnsi="仿宋" w:hint="eastAsia"/>
          <w:bCs/>
          <w:sz w:val="32"/>
          <w:szCs w:val="32"/>
        </w:rPr>
        <w:t>其他卫生健康支出（项）</w:t>
      </w:r>
      <w:r>
        <w:rPr>
          <w:rStyle w:val="a8"/>
          <w:rFonts w:ascii="仿宋" w:eastAsia="仿宋" w:hAnsi="仿宋"/>
          <w:bCs/>
          <w:sz w:val="32"/>
          <w:szCs w:val="32"/>
        </w:rPr>
        <w:t>:</w:t>
      </w:r>
      <w:r>
        <w:rPr>
          <w:rStyle w:val="a8"/>
          <w:rFonts w:ascii="仿宋" w:eastAsia="仿宋" w:hAnsi="仿宋" w:hint="eastAsia"/>
          <w:b w:val="0"/>
          <w:bCs/>
          <w:sz w:val="32"/>
          <w:szCs w:val="32"/>
        </w:rPr>
        <w:t>支出决算为238.62万元，完成预算100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0959AA" w:rsidRDefault="00953201">
      <w:pPr>
        <w:spacing w:line="600" w:lineRule="exact"/>
        <w:ind w:firstLineChars="200" w:firstLine="643"/>
        <w:rPr>
          <w:rStyle w:val="a8"/>
          <w:rFonts w:ascii="仿宋" w:eastAsia="仿宋" w:hAnsi="仿宋"/>
          <w:b w:val="0"/>
          <w:bCs/>
          <w:sz w:val="32"/>
          <w:szCs w:val="32"/>
        </w:rPr>
      </w:pPr>
      <w:r>
        <w:rPr>
          <w:rStyle w:val="a8"/>
          <w:rFonts w:ascii="仿宋" w:eastAsia="仿宋" w:hAnsi="仿宋" w:hint="eastAsia"/>
          <w:bCs/>
          <w:sz w:val="32"/>
          <w:szCs w:val="32"/>
        </w:rPr>
        <w:t>14</w:t>
      </w:r>
      <w:r>
        <w:rPr>
          <w:rStyle w:val="a8"/>
          <w:rFonts w:ascii="仿宋" w:eastAsia="仿宋" w:hAnsi="仿宋"/>
          <w:bCs/>
          <w:sz w:val="32"/>
          <w:szCs w:val="32"/>
        </w:rPr>
        <w:t>.</w:t>
      </w:r>
      <w:r>
        <w:rPr>
          <w:rStyle w:val="a8"/>
          <w:rFonts w:ascii="仿宋" w:eastAsia="仿宋" w:hAnsi="仿宋" w:hint="eastAsia"/>
          <w:bCs/>
          <w:sz w:val="32"/>
          <w:szCs w:val="32"/>
        </w:rPr>
        <w:t>灾害防治及应急管理支出（类）应急管理事务（款）其他应急管理支出（项）</w:t>
      </w:r>
      <w:r>
        <w:rPr>
          <w:rStyle w:val="a8"/>
          <w:rFonts w:ascii="仿宋" w:eastAsia="仿宋" w:hAnsi="仿宋"/>
          <w:bCs/>
          <w:sz w:val="32"/>
          <w:szCs w:val="32"/>
        </w:rPr>
        <w:t>:</w:t>
      </w:r>
      <w:r>
        <w:rPr>
          <w:rStyle w:val="a8"/>
          <w:rFonts w:ascii="仿宋" w:eastAsia="仿宋" w:hAnsi="仿宋" w:hint="eastAsia"/>
          <w:b w:val="0"/>
          <w:bCs/>
          <w:sz w:val="32"/>
          <w:szCs w:val="32"/>
        </w:rPr>
        <w:t>支出决算为43万元，完成预算100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p>
    <w:p w:rsidR="000959AA" w:rsidRDefault="00953201">
      <w:pPr>
        <w:tabs>
          <w:tab w:val="right" w:pos="8306"/>
        </w:tabs>
        <w:spacing w:line="600" w:lineRule="exact"/>
        <w:ind w:firstLine="640"/>
        <w:outlineLvl w:val="1"/>
        <w:rPr>
          <w:rStyle w:val="2Char"/>
        </w:rPr>
      </w:pPr>
      <w:bookmarkStart w:id="35" w:name="_Toc15377214"/>
      <w:bookmarkStart w:id="36"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5"/>
      <w:bookmarkEnd w:id="36"/>
      <w:r>
        <w:rPr>
          <w:rStyle w:val="2Char"/>
          <w:rFonts w:ascii="黑体" w:eastAsia="黑体" w:hAnsi="黑体"/>
          <w:b w:val="0"/>
        </w:rPr>
        <w:tab/>
      </w:r>
    </w:p>
    <w:p w:rsidR="000959AA" w:rsidRDefault="00953201">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21年一般公共预算财政拨款基本支出1432.93万元，其中：</w:t>
      </w:r>
    </w:p>
    <w:p w:rsidR="000959AA" w:rsidRDefault="00953201">
      <w:pPr>
        <w:spacing w:line="600" w:lineRule="exact"/>
        <w:ind w:firstLine="645"/>
        <w:rPr>
          <w:rFonts w:ascii="仿宋" w:eastAsia="仿宋" w:hAnsi="仿宋"/>
          <w:sz w:val="32"/>
          <w:szCs w:val="32"/>
        </w:rPr>
      </w:pPr>
      <w:r>
        <w:rPr>
          <w:rFonts w:ascii="仿宋" w:eastAsia="仿宋" w:hAnsi="仿宋" w:hint="eastAsia"/>
          <w:sz w:val="32"/>
          <w:szCs w:val="32"/>
        </w:rPr>
        <w:t>人员经费1391.38万元，主要包括：基本工资、津贴补贴、绩效工资、机关事业单位基本养老保险缴费、职业年金缴费、其他社会保障缴费、其他工资福利支出、抚恤金、生活补助、医疗费补助、奖励金。</w:t>
      </w:r>
      <w:r>
        <w:rPr>
          <w:rFonts w:ascii="仿宋" w:eastAsia="仿宋" w:hAnsi="仿宋"/>
          <w:sz w:val="32"/>
          <w:szCs w:val="32"/>
        </w:rPr>
        <w:br/>
      </w:r>
      <w:r>
        <w:rPr>
          <w:rFonts w:ascii="仿宋" w:eastAsia="仿宋" w:hAnsi="仿宋" w:hint="eastAsia"/>
          <w:sz w:val="32"/>
          <w:szCs w:val="32"/>
        </w:rPr>
        <w:t xml:space="preserve">　　公用经费41.55万元，主要包括：邮电费、工会经费、福利费、公务用车运行维护费、其他商品和服务支出。</w:t>
      </w:r>
    </w:p>
    <w:p w:rsidR="000959AA" w:rsidRDefault="00953201">
      <w:pPr>
        <w:spacing w:line="600" w:lineRule="exact"/>
        <w:ind w:firstLine="640"/>
        <w:outlineLvl w:val="1"/>
        <w:rPr>
          <w:rStyle w:val="2Char"/>
          <w:rFonts w:ascii="黑体" w:eastAsia="黑体" w:hAnsi="黑体"/>
          <w:b w:val="0"/>
        </w:rPr>
      </w:pPr>
      <w:bookmarkStart w:id="37" w:name="_Toc15396609"/>
      <w:bookmarkStart w:id="38" w:name="_Toc15377215"/>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37"/>
      <w:bookmarkEnd w:id="38"/>
    </w:p>
    <w:p w:rsidR="000959AA" w:rsidRDefault="00953201">
      <w:pPr>
        <w:spacing w:line="600" w:lineRule="exact"/>
        <w:ind w:firstLine="640"/>
        <w:outlineLvl w:val="2"/>
        <w:rPr>
          <w:rFonts w:ascii="仿宋" w:eastAsia="仿宋" w:hAnsi="仿宋"/>
          <w:b/>
          <w:sz w:val="32"/>
          <w:szCs w:val="32"/>
        </w:rPr>
      </w:pPr>
      <w:bookmarkStart w:id="39" w:name="_Toc15377216"/>
      <w:r>
        <w:rPr>
          <w:rFonts w:ascii="仿宋" w:eastAsia="仿宋" w:hAnsi="仿宋" w:hint="eastAsia"/>
          <w:b/>
          <w:sz w:val="32"/>
          <w:szCs w:val="32"/>
        </w:rPr>
        <w:t>（一）“三公”经费财政拨款支出决算总体情况说明</w:t>
      </w:r>
      <w:bookmarkEnd w:id="39"/>
    </w:p>
    <w:p w:rsidR="000959AA" w:rsidRDefault="00953201">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21年“三公”经费财政拨款支出决算为11.07万元，完成预算100</w:t>
      </w:r>
      <w:r>
        <w:rPr>
          <w:rFonts w:ascii="仿宋" w:eastAsia="仿宋" w:hAnsi="仿宋"/>
          <w:sz w:val="32"/>
          <w:szCs w:val="32"/>
        </w:rPr>
        <w:t>%</w:t>
      </w:r>
      <w:r>
        <w:rPr>
          <w:rFonts w:ascii="仿宋" w:eastAsia="仿宋" w:hAnsi="仿宋" w:hint="eastAsia"/>
          <w:sz w:val="32"/>
          <w:szCs w:val="32"/>
        </w:rPr>
        <w:t>。</w:t>
      </w:r>
      <w:r w:rsidR="00727C47" w:rsidRPr="00727C47">
        <w:rPr>
          <w:rFonts w:ascii="仿宋" w:eastAsia="仿宋" w:hAnsi="仿宋" w:hint="eastAsia"/>
          <w:sz w:val="32"/>
          <w:szCs w:val="32"/>
        </w:rPr>
        <w:t>决算数与预算数持平的主要原因是严格执行中央八项规定，厉行节约。</w:t>
      </w:r>
    </w:p>
    <w:p w:rsidR="000959AA" w:rsidRDefault="00953201">
      <w:pPr>
        <w:spacing w:line="600" w:lineRule="exact"/>
        <w:ind w:firstLine="640"/>
        <w:outlineLvl w:val="2"/>
        <w:rPr>
          <w:rFonts w:ascii="仿宋" w:eastAsia="仿宋" w:hAnsi="仿宋"/>
          <w:b/>
          <w:sz w:val="32"/>
          <w:szCs w:val="32"/>
        </w:rPr>
      </w:pPr>
      <w:bookmarkStart w:id="40" w:name="_Toc15377217"/>
      <w:r>
        <w:rPr>
          <w:rFonts w:ascii="仿宋" w:eastAsia="仿宋" w:hAnsi="仿宋" w:hint="eastAsia"/>
          <w:b/>
          <w:sz w:val="32"/>
          <w:szCs w:val="32"/>
        </w:rPr>
        <w:t>（二）“三公”经费财政拨款支出决算具体情况说明</w:t>
      </w:r>
      <w:bookmarkEnd w:id="40"/>
    </w:p>
    <w:p w:rsidR="000959AA" w:rsidRDefault="00953201">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21年“三公”经费财政拨款支出决算中，因公出国（境）费支出决算0万元，占0</w:t>
      </w:r>
      <w:r>
        <w:rPr>
          <w:rFonts w:ascii="仿宋" w:eastAsia="仿宋" w:hAnsi="仿宋"/>
          <w:sz w:val="32"/>
          <w:szCs w:val="32"/>
        </w:rPr>
        <w:t>%</w:t>
      </w:r>
      <w:r>
        <w:rPr>
          <w:rFonts w:ascii="仿宋" w:eastAsia="仿宋" w:hAnsi="仿宋" w:hint="eastAsia"/>
          <w:sz w:val="32"/>
          <w:szCs w:val="32"/>
        </w:rPr>
        <w:t>；公务用车购置及运行维护费支出决算11.07万元，占100</w:t>
      </w:r>
      <w:r>
        <w:rPr>
          <w:rFonts w:ascii="仿宋" w:eastAsia="仿宋" w:hAnsi="仿宋"/>
          <w:sz w:val="32"/>
          <w:szCs w:val="32"/>
        </w:rPr>
        <w:t>%</w:t>
      </w:r>
      <w:r>
        <w:rPr>
          <w:rFonts w:ascii="仿宋" w:eastAsia="仿宋" w:hAnsi="仿宋" w:hint="eastAsia"/>
          <w:sz w:val="32"/>
          <w:szCs w:val="32"/>
        </w:rPr>
        <w:t>；公务接待费支出决算0万元，占0</w:t>
      </w:r>
      <w:r>
        <w:rPr>
          <w:rFonts w:ascii="仿宋" w:eastAsia="仿宋" w:hAnsi="仿宋"/>
          <w:sz w:val="32"/>
          <w:szCs w:val="32"/>
        </w:rPr>
        <w:t>%</w:t>
      </w:r>
      <w:r>
        <w:rPr>
          <w:rFonts w:ascii="仿宋" w:eastAsia="仿宋" w:hAnsi="仿宋" w:hint="eastAsia"/>
          <w:sz w:val="32"/>
          <w:szCs w:val="32"/>
        </w:rPr>
        <w:t>。具体情况如下：</w:t>
      </w:r>
    </w:p>
    <w:p w:rsidR="000959AA" w:rsidRDefault="00953201">
      <w:pPr>
        <w:spacing w:line="600" w:lineRule="exact"/>
        <w:ind w:firstLine="640"/>
        <w:rPr>
          <w:rFonts w:ascii="仿宋" w:eastAsia="仿宋" w:hAnsi="仿宋"/>
          <w:sz w:val="32"/>
          <w:szCs w:val="32"/>
        </w:rPr>
      </w:pPr>
      <w:r>
        <w:rPr>
          <w:noProof/>
        </w:rPr>
        <w:lastRenderedPageBreak/>
        <w:drawing>
          <wp:anchor distT="0" distB="0" distL="114300" distR="114300" simplePos="0" relativeHeight="251664384" behindDoc="0" locked="0" layoutInCell="1" allowOverlap="1">
            <wp:simplePos x="0" y="0"/>
            <wp:positionH relativeFrom="column">
              <wp:posOffset>-81280</wp:posOffset>
            </wp:positionH>
            <wp:positionV relativeFrom="paragraph">
              <wp:posOffset>455930</wp:posOffset>
            </wp:positionV>
            <wp:extent cx="5495925" cy="1790700"/>
            <wp:effectExtent l="4445" t="4445" r="5080" b="14605"/>
            <wp:wrapSquare wrapText="bothSides"/>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仿宋" w:eastAsia="仿宋" w:hAnsi="仿宋" w:hint="eastAsia"/>
          <w:sz w:val="32"/>
          <w:szCs w:val="32"/>
        </w:rPr>
        <w:t>“三公”经费财政拨款支出结构</w:t>
      </w:r>
    </w:p>
    <w:p w:rsidR="000959AA" w:rsidRDefault="00953201">
      <w:pPr>
        <w:spacing w:line="600" w:lineRule="exact"/>
        <w:ind w:firstLine="640"/>
        <w:rPr>
          <w:rFonts w:ascii="仿宋_GB2312" w:eastAsia="仿宋"/>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0万元，预算0万元。全年安排因公出国（境）团组0次，出国（境）0人。因公出国（境）支出决算与2020年持平，主要原因是工作安排所需，暂无因公出国（境）工作安排。</w:t>
      </w:r>
    </w:p>
    <w:p w:rsidR="000959AA" w:rsidRDefault="00953201">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11.07万元,</w:t>
      </w:r>
      <w:r>
        <w:rPr>
          <w:rStyle w:val="a8"/>
          <w:rFonts w:ascii="仿宋" w:eastAsia="仿宋" w:hAnsi="仿宋" w:hint="eastAsia"/>
          <w:b w:val="0"/>
          <w:bCs/>
          <w:sz w:val="32"/>
          <w:szCs w:val="32"/>
        </w:rPr>
        <w:t>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20年减少5.35万元，下降32.58</w:t>
      </w:r>
      <w:r>
        <w:rPr>
          <w:rFonts w:ascii="仿宋_GB2312" w:eastAsia="仿宋_GB2312"/>
          <w:sz w:val="32"/>
          <w:szCs w:val="32"/>
        </w:rPr>
        <w:t>%</w:t>
      </w:r>
      <w:r>
        <w:rPr>
          <w:rFonts w:ascii="仿宋_GB2312" w:eastAsia="仿宋_GB2312" w:hint="eastAsia"/>
          <w:sz w:val="32"/>
          <w:szCs w:val="32"/>
        </w:rPr>
        <w:t>。主要原因是压缩公务用车费用，节约资金。</w:t>
      </w:r>
    </w:p>
    <w:p w:rsidR="000959AA" w:rsidRDefault="00953201">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0万元。</w:t>
      </w:r>
    </w:p>
    <w:p w:rsidR="000959AA" w:rsidRDefault="00953201">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11.07万元。主要用于</w:t>
      </w:r>
      <w:proofErr w:type="gramStart"/>
      <w:r>
        <w:rPr>
          <w:rFonts w:ascii="仿宋_GB2312" w:eastAsia="仿宋_GB2312" w:hint="eastAsia"/>
          <w:sz w:val="32"/>
          <w:szCs w:val="32"/>
        </w:rPr>
        <w:t>基本公卫等</w:t>
      </w:r>
      <w:proofErr w:type="gramEnd"/>
      <w:r>
        <w:rPr>
          <w:rFonts w:ascii="仿宋_GB2312" w:eastAsia="仿宋_GB2312" w:hint="eastAsia"/>
          <w:sz w:val="32"/>
          <w:szCs w:val="32"/>
        </w:rPr>
        <w:t>所需的公务用车燃料费、维修费、过路过桥费、保险费等支出。</w:t>
      </w:r>
    </w:p>
    <w:p w:rsidR="000959AA" w:rsidRDefault="00953201">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0万元，</w:t>
      </w:r>
      <w:r>
        <w:rPr>
          <w:rStyle w:val="a8"/>
          <w:rFonts w:ascii="仿宋" w:eastAsia="仿宋" w:hAnsi="仿宋" w:hint="eastAsia"/>
          <w:b w:val="0"/>
          <w:bCs/>
          <w:sz w:val="32"/>
          <w:szCs w:val="32"/>
        </w:rPr>
        <w:t>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20年减少0.22万元，下降100</w:t>
      </w:r>
      <w:r>
        <w:rPr>
          <w:rFonts w:ascii="仿宋_GB2312" w:eastAsia="仿宋_GB2312"/>
          <w:sz w:val="32"/>
          <w:szCs w:val="32"/>
        </w:rPr>
        <w:t>%</w:t>
      </w:r>
      <w:r>
        <w:rPr>
          <w:rFonts w:ascii="仿宋_GB2312" w:eastAsia="仿宋_GB2312" w:hint="eastAsia"/>
          <w:sz w:val="32"/>
          <w:szCs w:val="32"/>
        </w:rPr>
        <w:t>。主要原因是减少公务接待。其中：</w:t>
      </w:r>
    </w:p>
    <w:p w:rsidR="000959AA" w:rsidRDefault="00953201">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0</w:t>
      </w:r>
      <w:r>
        <w:rPr>
          <w:rFonts w:ascii="仿宋_GB2312" w:eastAsia="仿宋_GB2312" w:hint="eastAsia"/>
          <w:sz w:val="32"/>
          <w:szCs w:val="32"/>
        </w:rPr>
        <w:t>万元。</w:t>
      </w:r>
    </w:p>
    <w:p w:rsidR="000959AA" w:rsidRDefault="00953201">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w:t>
      </w:r>
    </w:p>
    <w:p w:rsidR="000959AA" w:rsidRDefault="000959AA">
      <w:pPr>
        <w:spacing w:line="600" w:lineRule="exact"/>
        <w:ind w:firstLine="640"/>
        <w:outlineLvl w:val="1"/>
        <w:rPr>
          <w:rFonts w:ascii="黑体" w:eastAsia="黑体"/>
          <w:sz w:val="32"/>
          <w:szCs w:val="32"/>
        </w:rPr>
      </w:pPr>
      <w:bookmarkStart w:id="41" w:name="_Toc15396610"/>
      <w:bookmarkStart w:id="42" w:name="_Toc15377218"/>
    </w:p>
    <w:p w:rsidR="000959AA" w:rsidRDefault="00953201">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1"/>
      <w:bookmarkEnd w:id="42"/>
    </w:p>
    <w:p w:rsidR="000959AA" w:rsidRDefault="00953201">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21年政府性基金预算财政拨款支出0万元。</w:t>
      </w:r>
    </w:p>
    <w:p w:rsidR="000959AA" w:rsidRDefault="000959AA">
      <w:pPr>
        <w:spacing w:line="600" w:lineRule="exact"/>
        <w:ind w:firstLine="640"/>
        <w:rPr>
          <w:rFonts w:ascii="仿宋_GB2312" w:eastAsia="仿宋_GB2312"/>
          <w:sz w:val="32"/>
          <w:szCs w:val="32"/>
        </w:rPr>
      </w:pPr>
    </w:p>
    <w:p w:rsidR="000959AA" w:rsidRDefault="00953201">
      <w:pPr>
        <w:numPr>
          <w:ilvl w:val="0"/>
          <w:numId w:val="2"/>
        </w:numPr>
        <w:spacing w:line="600" w:lineRule="exact"/>
        <w:ind w:firstLine="640"/>
        <w:outlineLvl w:val="1"/>
        <w:rPr>
          <w:rStyle w:val="2Char"/>
          <w:rFonts w:ascii="黑体" w:eastAsia="黑体" w:hAnsi="黑体"/>
          <w:b w:val="0"/>
        </w:rPr>
      </w:pPr>
      <w:bookmarkStart w:id="43" w:name="_Toc15377219"/>
      <w:bookmarkStart w:id="44" w:name="_Toc15396611"/>
      <w:r>
        <w:rPr>
          <w:rStyle w:val="2Char"/>
          <w:rFonts w:ascii="黑体" w:eastAsia="黑体" w:hAnsi="黑体" w:hint="eastAsia"/>
          <w:b w:val="0"/>
        </w:rPr>
        <w:t>国有资本经营预算支出决算情况说明</w:t>
      </w:r>
      <w:bookmarkEnd w:id="43"/>
      <w:bookmarkEnd w:id="44"/>
    </w:p>
    <w:p w:rsidR="000959AA" w:rsidRDefault="00953201">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21年国有资本经营预算财政拨款支出0万元。</w:t>
      </w:r>
    </w:p>
    <w:p w:rsidR="000959AA" w:rsidRDefault="000959AA">
      <w:pPr>
        <w:spacing w:line="580" w:lineRule="exact"/>
        <w:jc w:val="center"/>
        <w:rPr>
          <w:rFonts w:ascii="方正小标宋简体" w:eastAsia="方正小标宋简体" w:hAnsi="方正小标宋简体" w:cs="方正小标宋简体"/>
          <w:sz w:val="44"/>
          <w:szCs w:val="44"/>
        </w:rPr>
      </w:pPr>
    </w:p>
    <w:p w:rsidR="000959AA" w:rsidRDefault="00953201">
      <w:pPr>
        <w:numPr>
          <w:ilvl w:val="0"/>
          <w:numId w:val="2"/>
        </w:numPr>
        <w:spacing w:line="600" w:lineRule="exact"/>
        <w:ind w:firstLine="640"/>
        <w:outlineLvl w:val="1"/>
        <w:rPr>
          <w:rStyle w:val="2Char"/>
          <w:rFonts w:ascii="黑体" w:eastAsia="黑体" w:hAnsi="黑体"/>
          <w:b w:val="0"/>
        </w:rPr>
      </w:pPr>
      <w:bookmarkStart w:id="45" w:name="_Toc15396612"/>
      <w:bookmarkStart w:id="46" w:name="_Toc15377221"/>
      <w:r>
        <w:rPr>
          <w:rStyle w:val="2Char"/>
          <w:rFonts w:ascii="黑体" w:eastAsia="黑体" w:hAnsi="黑体" w:hint="eastAsia"/>
          <w:b w:val="0"/>
        </w:rPr>
        <w:t>其他重要事项的情况说明</w:t>
      </w:r>
      <w:bookmarkEnd w:id="45"/>
      <w:bookmarkEnd w:id="46"/>
    </w:p>
    <w:p w:rsidR="000959AA" w:rsidRDefault="00953201">
      <w:pPr>
        <w:spacing w:line="600" w:lineRule="exact"/>
        <w:ind w:firstLineChars="200" w:firstLine="643"/>
        <w:outlineLvl w:val="2"/>
        <w:rPr>
          <w:rFonts w:ascii="仿宋" w:eastAsia="仿宋" w:hAnsi="仿宋"/>
          <w:sz w:val="32"/>
          <w:szCs w:val="32"/>
        </w:rPr>
      </w:pPr>
      <w:bookmarkStart w:id="47" w:name="_Toc15377222"/>
      <w:r>
        <w:rPr>
          <w:rFonts w:ascii="仿宋" w:eastAsia="仿宋" w:hAnsi="仿宋" w:hint="eastAsia"/>
          <w:b/>
          <w:sz w:val="32"/>
          <w:szCs w:val="32"/>
        </w:rPr>
        <w:t>（一）机关运行经费支出情况</w:t>
      </w:r>
      <w:bookmarkEnd w:id="47"/>
    </w:p>
    <w:p w:rsidR="000959AA" w:rsidRDefault="00953201">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21年，机关运行经费支出0万元，比</w:t>
      </w:r>
      <w:r>
        <w:rPr>
          <w:rFonts w:ascii="仿宋_GB2312" w:eastAsia="仿宋_GB2312"/>
          <w:sz w:val="32"/>
          <w:szCs w:val="32"/>
        </w:rPr>
        <w:t>20</w:t>
      </w:r>
      <w:r>
        <w:rPr>
          <w:rFonts w:ascii="仿宋_GB2312" w:eastAsia="仿宋_GB2312" w:hint="eastAsia"/>
          <w:sz w:val="32"/>
          <w:szCs w:val="32"/>
        </w:rPr>
        <w:t>20年增加减少0万元，与</w:t>
      </w:r>
      <w:r>
        <w:rPr>
          <w:rFonts w:ascii="仿宋_GB2312" w:eastAsia="仿宋_GB2312"/>
          <w:sz w:val="32"/>
          <w:szCs w:val="32"/>
        </w:rPr>
        <w:t>20</w:t>
      </w:r>
      <w:r>
        <w:rPr>
          <w:rFonts w:ascii="仿宋_GB2312" w:eastAsia="仿宋_GB2312" w:hint="eastAsia"/>
          <w:sz w:val="32"/>
          <w:szCs w:val="32"/>
        </w:rPr>
        <w:t>20年决算数持平。</w:t>
      </w:r>
    </w:p>
    <w:p w:rsidR="000959AA" w:rsidRDefault="00953201">
      <w:pPr>
        <w:autoSpaceDE w:val="0"/>
        <w:autoSpaceDN w:val="0"/>
        <w:adjustRightInd w:val="0"/>
        <w:spacing w:line="600" w:lineRule="exact"/>
        <w:ind w:firstLineChars="200" w:firstLine="643"/>
        <w:jc w:val="left"/>
        <w:outlineLvl w:val="2"/>
        <w:rPr>
          <w:rFonts w:ascii="仿宋" w:eastAsia="仿宋" w:hAnsi="仿宋"/>
          <w:b/>
          <w:sz w:val="32"/>
          <w:szCs w:val="32"/>
        </w:rPr>
      </w:pPr>
      <w:bookmarkStart w:id="48" w:name="_Toc15377223"/>
      <w:r>
        <w:rPr>
          <w:rFonts w:ascii="仿宋" w:eastAsia="仿宋" w:hAnsi="仿宋" w:hint="eastAsia"/>
          <w:b/>
          <w:sz w:val="32"/>
          <w:szCs w:val="32"/>
        </w:rPr>
        <w:t>（二）政府采购支出情况</w:t>
      </w:r>
      <w:bookmarkEnd w:id="48"/>
    </w:p>
    <w:p w:rsidR="000959AA" w:rsidRDefault="00953201">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中心政府采购支出总额529.82万元，其中：政府采购货物支出529.82万元、政府采购工程支出0万元、政府采购服务支出0万元。主要用于公立医院质量提升。授予中小企业合同金额529.82万元，占政府采购支出总额的100</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合同金额110.73万元，占政府采购支出总额的20.90</w:t>
      </w:r>
      <w:r>
        <w:rPr>
          <w:rFonts w:ascii="仿宋_GB2312" w:eastAsia="仿宋_GB2312"/>
          <w:sz w:val="32"/>
          <w:szCs w:val="32"/>
        </w:rPr>
        <w:t>%</w:t>
      </w:r>
      <w:r>
        <w:rPr>
          <w:rFonts w:ascii="仿宋_GB2312" w:eastAsia="仿宋_GB2312" w:hint="eastAsia"/>
          <w:sz w:val="32"/>
          <w:szCs w:val="32"/>
        </w:rPr>
        <w:t>。</w:t>
      </w:r>
    </w:p>
    <w:p w:rsidR="000959AA" w:rsidRDefault="00953201">
      <w:pPr>
        <w:autoSpaceDE w:val="0"/>
        <w:autoSpaceDN w:val="0"/>
        <w:adjustRightInd w:val="0"/>
        <w:spacing w:line="600" w:lineRule="exact"/>
        <w:ind w:firstLineChars="200" w:firstLine="643"/>
        <w:jc w:val="left"/>
        <w:outlineLvl w:val="2"/>
        <w:rPr>
          <w:rFonts w:ascii="仿宋" w:eastAsia="仿宋" w:hAnsi="仿宋"/>
          <w:b/>
          <w:sz w:val="32"/>
          <w:szCs w:val="32"/>
        </w:rPr>
      </w:pPr>
      <w:bookmarkStart w:id="49" w:name="_Toc15377224"/>
      <w:r>
        <w:rPr>
          <w:rFonts w:ascii="仿宋" w:eastAsia="仿宋" w:hAnsi="仿宋" w:hint="eastAsia"/>
          <w:b/>
          <w:sz w:val="32"/>
          <w:szCs w:val="32"/>
        </w:rPr>
        <w:t>（三）国有资产占有使用情况</w:t>
      </w:r>
      <w:bookmarkEnd w:id="49"/>
    </w:p>
    <w:p w:rsidR="000959AA" w:rsidRDefault="00953201">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日，中心共有车辆5辆，其中：应急保障用车2辆、特种专业技术用车3辆；单价</w:t>
      </w:r>
      <w:r>
        <w:rPr>
          <w:rFonts w:ascii="仿宋_GB2312" w:eastAsia="仿宋_GB2312"/>
          <w:sz w:val="32"/>
          <w:szCs w:val="32"/>
        </w:rPr>
        <w:t>50</w:t>
      </w:r>
      <w:r>
        <w:rPr>
          <w:rFonts w:ascii="仿宋_GB2312" w:eastAsia="仿宋_GB2312" w:hint="eastAsia"/>
          <w:sz w:val="32"/>
          <w:szCs w:val="32"/>
        </w:rPr>
        <w:t>万元以上通用设备0台（套），单价</w:t>
      </w:r>
      <w:r>
        <w:rPr>
          <w:rFonts w:ascii="仿宋_GB2312" w:eastAsia="仿宋_GB2312"/>
          <w:sz w:val="32"/>
          <w:szCs w:val="32"/>
        </w:rPr>
        <w:t>100</w:t>
      </w:r>
      <w:r>
        <w:rPr>
          <w:rFonts w:ascii="仿宋_GB2312" w:eastAsia="仿宋_GB2312" w:hint="eastAsia"/>
          <w:sz w:val="32"/>
          <w:szCs w:val="32"/>
        </w:rPr>
        <w:t>万元以上专用设备7台（套）。</w:t>
      </w:r>
    </w:p>
    <w:p w:rsidR="000959AA" w:rsidRDefault="00953201">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0959AA" w:rsidRDefault="0095320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根据预算绩效管理要求，本单位在2021年度预算编制阶段，组织对妇幼健康行动计划项目等14个项目开展了预算事前绩效评估，对14个项目编制了绩效目标，预算执行过程中，选取14个项目开展绩效监控，年终执行完毕后，对14个项目开展了绩效自评，2021年特定目标类部门预算项目绩效目标自评表见附件（第四部分）。</w:t>
      </w:r>
    </w:p>
    <w:p w:rsidR="000959AA" w:rsidRDefault="000959AA">
      <w:pPr>
        <w:pStyle w:val="a0"/>
        <w:ind w:left="1060" w:hanging="640"/>
        <w:rPr>
          <w:rFonts w:ascii="仿宋_GB2312" w:eastAsia="仿宋_GB2312" w:hAnsi="仿宋_GB2312" w:cs="仿宋_GB2312"/>
          <w:sz w:val="32"/>
          <w:szCs w:val="32"/>
        </w:rPr>
      </w:pPr>
    </w:p>
    <w:p w:rsidR="000959AA" w:rsidRDefault="000959AA">
      <w:pPr>
        <w:rPr>
          <w:rFonts w:ascii="仿宋_GB2312" w:eastAsia="仿宋_GB2312" w:hAnsi="仿宋_GB2312" w:cs="仿宋_GB2312"/>
          <w:sz w:val="32"/>
          <w:szCs w:val="32"/>
        </w:rPr>
      </w:pPr>
    </w:p>
    <w:p w:rsidR="000959AA" w:rsidRDefault="000959AA">
      <w:pPr>
        <w:pStyle w:val="a0"/>
        <w:ind w:left="1060" w:hanging="640"/>
        <w:rPr>
          <w:rFonts w:ascii="仿宋_GB2312" w:eastAsia="仿宋_GB2312" w:hAnsi="仿宋_GB2312" w:cs="仿宋_GB2312"/>
          <w:sz w:val="32"/>
          <w:szCs w:val="32"/>
        </w:rPr>
      </w:pPr>
    </w:p>
    <w:p w:rsidR="000959AA" w:rsidRDefault="000959AA">
      <w:pPr>
        <w:rPr>
          <w:rFonts w:ascii="仿宋_GB2312" w:eastAsia="仿宋_GB2312" w:hAnsi="仿宋_GB2312" w:cs="仿宋_GB2312"/>
          <w:sz w:val="32"/>
          <w:szCs w:val="32"/>
        </w:rPr>
      </w:pPr>
    </w:p>
    <w:p w:rsidR="000959AA" w:rsidRDefault="000959AA">
      <w:pPr>
        <w:pStyle w:val="a0"/>
        <w:ind w:left="1060" w:hanging="640"/>
        <w:rPr>
          <w:rFonts w:ascii="仿宋_GB2312" w:eastAsia="仿宋_GB2312" w:hAnsi="仿宋_GB2312" w:cs="仿宋_GB2312"/>
          <w:sz w:val="32"/>
          <w:szCs w:val="32"/>
        </w:rPr>
      </w:pPr>
    </w:p>
    <w:p w:rsidR="000959AA" w:rsidRDefault="000959AA">
      <w:pPr>
        <w:rPr>
          <w:rFonts w:ascii="仿宋_GB2312" w:eastAsia="仿宋_GB2312" w:hAnsi="仿宋_GB2312" w:cs="仿宋_GB2312"/>
          <w:sz w:val="32"/>
          <w:szCs w:val="32"/>
        </w:rPr>
      </w:pPr>
    </w:p>
    <w:p w:rsidR="000959AA" w:rsidRDefault="000959AA">
      <w:pPr>
        <w:pStyle w:val="a0"/>
        <w:ind w:left="1060" w:hanging="640"/>
        <w:rPr>
          <w:rFonts w:ascii="仿宋_GB2312" w:eastAsia="仿宋_GB2312" w:hAnsi="仿宋_GB2312" w:cs="仿宋_GB2312"/>
          <w:sz w:val="32"/>
          <w:szCs w:val="32"/>
        </w:rPr>
      </w:pPr>
    </w:p>
    <w:p w:rsidR="000959AA" w:rsidRDefault="000959AA">
      <w:pPr>
        <w:rPr>
          <w:rFonts w:ascii="仿宋_GB2312" w:eastAsia="仿宋_GB2312" w:hAnsi="仿宋_GB2312" w:cs="仿宋_GB2312"/>
          <w:sz w:val="32"/>
          <w:szCs w:val="32"/>
        </w:rPr>
      </w:pPr>
    </w:p>
    <w:p w:rsidR="000959AA" w:rsidRDefault="000959AA">
      <w:pPr>
        <w:pStyle w:val="a0"/>
        <w:ind w:left="1060" w:hanging="640"/>
        <w:rPr>
          <w:rFonts w:ascii="仿宋_GB2312" w:eastAsia="仿宋_GB2312" w:hAnsi="仿宋_GB2312" w:cs="仿宋_GB2312"/>
          <w:sz w:val="32"/>
          <w:szCs w:val="32"/>
        </w:rPr>
      </w:pPr>
    </w:p>
    <w:p w:rsidR="000959AA" w:rsidRDefault="000959AA">
      <w:pPr>
        <w:rPr>
          <w:rFonts w:ascii="仿宋_GB2312" w:eastAsia="仿宋_GB2312" w:hAnsi="仿宋_GB2312" w:cs="仿宋_GB2312"/>
          <w:sz w:val="32"/>
          <w:szCs w:val="32"/>
        </w:rPr>
      </w:pPr>
    </w:p>
    <w:p w:rsidR="000959AA" w:rsidRDefault="000959AA">
      <w:pPr>
        <w:pStyle w:val="a0"/>
        <w:ind w:left="1060" w:hanging="640"/>
        <w:rPr>
          <w:rFonts w:ascii="仿宋_GB2312" w:eastAsia="仿宋_GB2312" w:hAnsi="仿宋_GB2312" w:cs="仿宋_GB2312"/>
          <w:sz w:val="32"/>
          <w:szCs w:val="32"/>
        </w:rPr>
      </w:pPr>
    </w:p>
    <w:p w:rsidR="000959AA" w:rsidRDefault="000959AA">
      <w:pPr>
        <w:rPr>
          <w:rFonts w:ascii="仿宋_GB2312" w:eastAsia="仿宋_GB2312" w:hAnsi="仿宋_GB2312" w:cs="仿宋_GB2312"/>
          <w:sz w:val="32"/>
          <w:szCs w:val="32"/>
        </w:rPr>
      </w:pPr>
    </w:p>
    <w:p w:rsidR="000959AA" w:rsidRDefault="000959AA">
      <w:pPr>
        <w:pStyle w:val="a0"/>
        <w:ind w:left="1060" w:hanging="640"/>
        <w:rPr>
          <w:rFonts w:ascii="仿宋_GB2312" w:eastAsia="仿宋_GB2312" w:hAnsi="仿宋_GB2312" w:cs="仿宋_GB2312"/>
          <w:sz w:val="32"/>
          <w:szCs w:val="32"/>
        </w:rPr>
      </w:pPr>
    </w:p>
    <w:p w:rsidR="000959AA" w:rsidRDefault="000959AA">
      <w:pPr>
        <w:rPr>
          <w:rFonts w:ascii="仿宋_GB2312" w:eastAsia="仿宋_GB2312" w:hAnsi="仿宋_GB2312" w:cs="仿宋_GB2312"/>
          <w:sz w:val="32"/>
          <w:szCs w:val="32"/>
        </w:rPr>
      </w:pPr>
    </w:p>
    <w:p w:rsidR="000959AA" w:rsidRDefault="000959AA">
      <w:pPr>
        <w:pStyle w:val="a0"/>
        <w:ind w:left="840" w:hanging="420"/>
      </w:pPr>
    </w:p>
    <w:p w:rsidR="000959AA" w:rsidRDefault="000959AA">
      <w:pPr>
        <w:rPr>
          <w:rFonts w:ascii="仿宋_GB2312" w:eastAsia="仿宋_GB2312" w:hAnsi="仿宋_GB2312" w:cs="仿宋_GB2312"/>
          <w:sz w:val="32"/>
          <w:szCs w:val="32"/>
        </w:rPr>
      </w:pPr>
    </w:p>
    <w:p w:rsidR="000959AA" w:rsidRDefault="000959AA">
      <w:pPr>
        <w:pStyle w:val="a0"/>
        <w:ind w:left="840" w:hanging="420"/>
      </w:pPr>
    </w:p>
    <w:p w:rsidR="000959AA" w:rsidRDefault="000959AA"/>
    <w:p w:rsidR="000959AA" w:rsidRDefault="00953201">
      <w:pPr>
        <w:numPr>
          <w:ilvl w:val="0"/>
          <w:numId w:val="3"/>
        </w:numPr>
        <w:spacing w:line="600" w:lineRule="exact"/>
        <w:ind w:firstLineChars="150" w:firstLine="660"/>
        <w:jc w:val="center"/>
        <w:outlineLvl w:val="0"/>
        <w:rPr>
          <w:rStyle w:val="1Char"/>
          <w:rFonts w:ascii="黑体" w:eastAsia="黑体" w:hAnsi="黑体"/>
          <w:b w:val="0"/>
        </w:rPr>
      </w:pPr>
      <w:bookmarkStart w:id="50" w:name="_Toc15396613"/>
      <w:bookmarkStart w:id="51" w:name="_Toc15377225"/>
      <w:r>
        <w:rPr>
          <w:rFonts w:ascii="黑体" w:eastAsia="黑体" w:hAnsi="黑体" w:hint="eastAsia"/>
          <w:sz w:val="44"/>
          <w:szCs w:val="44"/>
        </w:rPr>
        <w:lastRenderedPageBreak/>
        <w:t>名</w:t>
      </w:r>
      <w:r>
        <w:rPr>
          <w:rStyle w:val="1Char"/>
          <w:rFonts w:ascii="黑体" w:eastAsia="黑体" w:hAnsi="黑体" w:hint="eastAsia"/>
          <w:b w:val="0"/>
        </w:rPr>
        <w:t>词解释</w:t>
      </w:r>
      <w:bookmarkEnd w:id="50"/>
      <w:bookmarkEnd w:id="51"/>
    </w:p>
    <w:p w:rsidR="000959AA" w:rsidRDefault="000959AA">
      <w:pPr>
        <w:spacing w:line="600" w:lineRule="exact"/>
        <w:jc w:val="left"/>
        <w:rPr>
          <w:rFonts w:ascii="宋体"/>
          <w:b/>
          <w:sz w:val="44"/>
          <w:szCs w:val="44"/>
        </w:rPr>
      </w:pPr>
    </w:p>
    <w:p w:rsidR="000959AA" w:rsidRDefault="00953201">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0959AA" w:rsidRDefault="00953201">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事业收入：指事业单位开展专业业务活动及辅助活动取得的收入。如医疗收入等。</w:t>
      </w:r>
    </w:p>
    <w:p w:rsidR="000959AA" w:rsidRDefault="00953201">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w:t>
      </w:r>
    </w:p>
    <w:p w:rsidR="000959AA" w:rsidRDefault="00953201">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其他收入：指单位取得的除上述收入以外的各项收入。主要是复印费、实习费等。</w:t>
      </w:r>
      <w:r>
        <w:rPr>
          <w:rFonts w:ascii="仿宋_GB2312" w:eastAsia="仿宋_GB2312"/>
          <w:color w:val="auto"/>
          <w:sz w:val="32"/>
          <w:szCs w:val="32"/>
        </w:rPr>
        <w:t xml:space="preserve"> </w:t>
      </w:r>
    </w:p>
    <w:p w:rsidR="000959AA" w:rsidRDefault="00953201">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rsidR="000959AA" w:rsidRDefault="00953201">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rsidR="000959AA" w:rsidRDefault="00953201">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rsidR="000959AA" w:rsidRDefault="00953201">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、年末结转和结余：指单位按有关规定结转到下年或以后年度继续使用的资金。</w:t>
      </w:r>
    </w:p>
    <w:p w:rsidR="000959AA" w:rsidRDefault="00953201">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9、社会保障和就业（类）行政事业单位养老支出（款）事业单位离退休（项），指用于退休职工的目标考核、死亡人员的丧葬费补助。</w:t>
      </w:r>
    </w:p>
    <w:p w:rsidR="000959AA" w:rsidRDefault="00953201">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10、社会保障和就业（类）行政事业单位养老支出（款）机关事业单位基本养老保险缴费支出（项），指用于职工的养老保险支出。</w:t>
      </w:r>
    </w:p>
    <w:p w:rsidR="000959AA" w:rsidRDefault="00953201">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lastRenderedPageBreak/>
        <w:t>11、社会保障和就业（类）行政事业单位养老支出（款）机关事业单位职业年金缴费支出（项），指用于退休职工的职业年金。</w:t>
      </w:r>
    </w:p>
    <w:p w:rsidR="000959AA" w:rsidRDefault="00953201">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12、社会保障和就业（类）行政事业单位养老支出（款）其他行政事业单位养老支出（项），指用于退休职工一次性独子补贴。</w:t>
      </w:r>
    </w:p>
    <w:p w:rsidR="000959AA" w:rsidRDefault="00953201">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13.卫生健康（类）卫生健康管理事务（款）其他卫生健康管理事务支出（项），指用于艾滋病防治方面的资金。</w:t>
      </w:r>
    </w:p>
    <w:p w:rsidR="000959AA" w:rsidRDefault="00953201">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14.卫生健康（类）公立医院（款）妇幼保健医院（项），指用于迁建项目建设资金。</w:t>
      </w:r>
    </w:p>
    <w:p w:rsidR="000959AA" w:rsidRDefault="00953201">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15.卫生健康（类）公共卫生（款）妇幼保健机构（项），指用于中心基本运转资金及公立医院医疗能力提升。</w:t>
      </w:r>
    </w:p>
    <w:p w:rsidR="000959AA" w:rsidRDefault="00953201">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16.卫生健康（类）公共卫生（款）基本公共卫生服务（项），指用于基本公共卫生服务方面。</w:t>
      </w:r>
    </w:p>
    <w:p w:rsidR="000959AA" w:rsidRDefault="00953201">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17.卫生健康（类）公共卫生（款）重大公共卫生服务（项），指用于</w:t>
      </w:r>
      <w:proofErr w:type="gramStart"/>
      <w:r>
        <w:rPr>
          <w:rFonts w:ascii="仿宋_GB2312" w:eastAsia="仿宋_GB2312" w:hAnsi="Calibri" w:cs="仿宋" w:hint="eastAsia"/>
          <w:kern w:val="0"/>
          <w:sz w:val="32"/>
          <w:szCs w:val="32"/>
        </w:rPr>
        <w:t>艾乙梅</w:t>
      </w:r>
      <w:proofErr w:type="gramEnd"/>
      <w:r>
        <w:rPr>
          <w:rFonts w:ascii="仿宋_GB2312" w:eastAsia="仿宋_GB2312" w:hAnsi="Calibri" w:cs="仿宋" w:hint="eastAsia"/>
          <w:kern w:val="0"/>
          <w:sz w:val="32"/>
          <w:szCs w:val="32"/>
        </w:rPr>
        <w:t>防治工作。</w:t>
      </w:r>
    </w:p>
    <w:p w:rsidR="000959AA" w:rsidRDefault="00953201">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18.卫生健康（类）公共卫生（款）其他公共卫生服务（项），指用于核酸检测专项资金及艾乙梅专项资金。</w:t>
      </w:r>
    </w:p>
    <w:p w:rsidR="000959AA" w:rsidRDefault="00953201">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19.卫生健康（类）行政事业单位医疗（款）事业单位医疗（项），指用于单位医疗保险支出。</w:t>
      </w:r>
    </w:p>
    <w:p w:rsidR="000959AA" w:rsidRDefault="00953201">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20.卫生健康（类）行政事业单位医疗（款）其他行政事业单位医疗（项），指用于单位除养老、医疗方面的其他保险费支出。</w:t>
      </w:r>
    </w:p>
    <w:p w:rsidR="000959AA" w:rsidRDefault="00953201">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lastRenderedPageBreak/>
        <w:t>21.卫生健康（类）其他卫生健康支出（款）其他卫生健康支出（项），指用于</w:t>
      </w:r>
      <w:proofErr w:type="gramStart"/>
      <w:r>
        <w:rPr>
          <w:rFonts w:ascii="仿宋_GB2312" w:eastAsia="仿宋_GB2312" w:hAnsi="Calibri" w:cs="仿宋" w:hint="eastAsia"/>
          <w:kern w:val="0"/>
          <w:sz w:val="32"/>
          <w:szCs w:val="32"/>
        </w:rPr>
        <w:t>儿早基地</w:t>
      </w:r>
      <w:proofErr w:type="gramEnd"/>
      <w:r>
        <w:rPr>
          <w:rFonts w:ascii="仿宋_GB2312" w:eastAsia="仿宋_GB2312" w:hAnsi="Calibri" w:cs="仿宋" w:hint="eastAsia"/>
          <w:kern w:val="0"/>
          <w:sz w:val="32"/>
          <w:szCs w:val="32"/>
        </w:rPr>
        <w:t>建设、医疗能力提升。</w:t>
      </w:r>
    </w:p>
    <w:p w:rsidR="000959AA" w:rsidRDefault="00953201">
      <w:pPr>
        <w:spacing w:line="600" w:lineRule="exact"/>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22.灾害防治及应急管理支出（类）应急管理事务（款）其他应急管理支出（项），指用于改善</w:t>
      </w:r>
      <w:proofErr w:type="gramStart"/>
      <w:r>
        <w:rPr>
          <w:rFonts w:ascii="仿宋_GB2312" w:eastAsia="仿宋_GB2312" w:hAnsi="Calibri" w:cs="仿宋" w:hint="eastAsia"/>
          <w:kern w:val="0"/>
          <w:sz w:val="32"/>
          <w:szCs w:val="32"/>
        </w:rPr>
        <w:t>中心消防</w:t>
      </w:r>
      <w:proofErr w:type="gramEnd"/>
      <w:r>
        <w:rPr>
          <w:rFonts w:ascii="仿宋_GB2312" w:eastAsia="仿宋_GB2312" w:hAnsi="Calibri" w:cs="仿宋" w:hint="eastAsia"/>
          <w:kern w:val="0"/>
          <w:sz w:val="32"/>
          <w:szCs w:val="32"/>
        </w:rPr>
        <w:t>安全工程。</w:t>
      </w:r>
    </w:p>
    <w:p w:rsidR="000959AA" w:rsidRDefault="00953201">
      <w:pPr>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23.基本支出：指为保障机构正常运转、完成日常工作任务而发生的人员支出和公用支出。</w:t>
      </w:r>
    </w:p>
    <w:p w:rsidR="000959AA" w:rsidRDefault="00953201">
      <w:pPr>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 xml:space="preserve">24.项目支出：指在基本支出之外为完成特定行政任务和事业发展目标所发生的支出。 </w:t>
      </w:r>
    </w:p>
    <w:p w:rsidR="000959AA" w:rsidRDefault="00953201">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经营支出：指事业单位在专业业务活动及其辅助活动之外开展非独立核算经营活动发生的支出。</w:t>
      </w:r>
    </w:p>
    <w:p w:rsidR="000959AA" w:rsidRDefault="00953201">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26</w:t>
      </w:r>
      <w:r>
        <w:rPr>
          <w:rFonts w:ascii="仿宋_GB2312" w:eastAsia="仿宋_GB2312"/>
          <w:color w:val="auto"/>
          <w:sz w:val="32"/>
          <w:szCs w:val="32"/>
        </w:rPr>
        <w:t>.</w:t>
      </w:r>
      <w:r>
        <w:rPr>
          <w:rFonts w:ascii="仿宋_GB2312" w:eastAsia="仿宋_GB2312" w:hint="eastAsia"/>
          <w:color w:val="auto"/>
          <w:sz w:val="32"/>
          <w:szCs w:val="32"/>
        </w:rPr>
        <w:t>“三公”经费：指单位用财政拨款安排的因公出国（境）费、公务用车购置及运行费和公务接待费。其中，因公出国（境）</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单位公务出国（境）的国际旅费、国外城市间交通费、住宿费、伙食费、培训费、公杂费等支出；公务用车购置及运行</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单位公务用车车辆购置支出（</w:t>
      </w:r>
      <w:proofErr w:type="gramStart"/>
      <w:r>
        <w:rPr>
          <w:rFonts w:ascii="仿宋_GB2312" w:eastAsia="仿宋_GB2312" w:hint="eastAsia"/>
          <w:color w:val="auto"/>
          <w:sz w:val="32"/>
          <w:szCs w:val="32"/>
        </w:rPr>
        <w:t>含车辆</w:t>
      </w:r>
      <w:proofErr w:type="gramEnd"/>
      <w:r>
        <w:rPr>
          <w:rFonts w:ascii="仿宋_GB2312" w:eastAsia="仿宋_GB2312" w:hint="eastAsia"/>
          <w:color w:val="auto"/>
          <w:sz w:val="32"/>
          <w:szCs w:val="32"/>
        </w:rPr>
        <w:t>购置税）及租用费、燃料费、维修费、过路过桥费、保险费等支出；公务接待</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单位按规定开支的各类公务接待（含外宾接待）支出。</w:t>
      </w:r>
    </w:p>
    <w:p w:rsidR="000959AA" w:rsidRDefault="00953201">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27</w:t>
      </w:r>
      <w:r>
        <w:rPr>
          <w:rFonts w:ascii="仿宋_GB2312" w:eastAsia="仿宋_GB2312"/>
          <w:color w:val="auto"/>
          <w:sz w:val="32"/>
          <w:szCs w:val="32"/>
        </w:rPr>
        <w:t>.</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w:t>
      </w:r>
      <w:r>
        <w:rPr>
          <w:rFonts w:ascii="仿宋_GB2312" w:eastAsia="仿宋_GB2312" w:hint="eastAsia"/>
          <w:color w:val="auto"/>
          <w:sz w:val="32"/>
          <w:szCs w:val="32"/>
        </w:rPr>
        <w:lastRenderedPageBreak/>
        <w:t>以及其他费用。</w:t>
      </w:r>
    </w:p>
    <w:p w:rsidR="000959AA" w:rsidRDefault="000959AA">
      <w:pPr>
        <w:pStyle w:val="Default"/>
        <w:spacing w:line="560" w:lineRule="exact"/>
        <w:ind w:firstLineChars="200" w:firstLine="640"/>
        <w:rPr>
          <w:rFonts w:ascii="仿宋_GB2312" w:eastAsia="仿宋_GB2312"/>
          <w:color w:val="auto"/>
          <w:sz w:val="32"/>
          <w:szCs w:val="32"/>
        </w:rPr>
      </w:pPr>
    </w:p>
    <w:p w:rsidR="000959AA" w:rsidRDefault="000959AA">
      <w:pPr>
        <w:pStyle w:val="Default"/>
        <w:spacing w:line="560" w:lineRule="exact"/>
        <w:ind w:firstLineChars="200" w:firstLine="640"/>
        <w:rPr>
          <w:rFonts w:ascii="仿宋_GB2312" w:eastAsia="仿宋_GB2312"/>
          <w:color w:val="auto"/>
          <w:sz w:val="32"/>
          <w:szCs w:val="32"/>
        </w:rPr>
      </w:pPr>
    </w:p>
    <w:p w:rsidR="000959AA" w:rsidRDefault="000959AA">
      <w:pPr>
        <w:pStyle w:val="Default"/>
        <w:spacing w:line="560" w:lineRule="exact"/>
        <w:ind w:firstLineChars="200" w:firstLine="640"/>
        <w:rPr>
          <w:rFonts w:ascii="仿宋_GB2312" w:eastAsia="仿宋_GB2312"/>
          <w:color w:val="auto"/>
          <w:sz w:val="32"/>
          <w:szCs w:val="32"/>
        </w:rPr>
      </w:pPr>
    </w:p>
    <w:p w:rsidR="000959AA" w:rsidRDefault="000959AA">
      <w:pPr>
        <w:pStyle w:val="Default"/>
        <w:spacing w:line="560" w:lineRule="exact"/>
        <w:ind w:firstLineChars="200" w:firstLine="640"/>
        <w:rPr>
          <w:rFonts w:ascii="仿宋_GB2312" w:eastAsia="仿宋_GB2312"/>
          <w:color w:val="auto"/>
          <w:sz w:val="32"/>
          <w:szCs w:val="32"/>
        </w:rPr>
      </w:pPr>
    </w:p>
    <w:p w:rsidR="000959AA" w:rsidRDefault="000959AA">
      <w:pPr>
        <w:pStyle w:val="Default"/>
        <w:spacing w:line="560" w:lineRule="exact"/>
        <w:ind w:firstLineChars="200" w:firstLine="640"/>
        <w:rPr>
          <w:rFonts w:ascii="仿宋_GB2312" w:eastAsia="仿宋_GB2312"/>
          <w:color w:val="auto"/>
          <w:sz w:val="32"/>
          <w:szCs w:val="32"/>
        </w:rPr>
      </w:pPr>
    </w:p>
    <w:p w:rsidR="000959AA" w:rsidRDefault="000959AA">
      <w:pPr>
        <w:spacing w:line="600" w:lineRule="exact"/>
        <w:jc w:val="center"/>
        <w:outlineLvl w:val="0"/>
        <w:rPr>
          <w:rFonts w:ascii="黑体" w:eastAsia="黑体" w:hAnsi="黑体"/>
          <w:sz w:val="44"/>
          <w:szCs w:val="44"/>
        </w:rPr>
      </w:pPr>
      <w:bookmarkStart w:id="52" w:name="_Toc15396614"/>
      <w:bookmarkStart w:id="53" w:name="_Toc15377226"/>
    </w:p>
    <w:p w:rsidR="000959AA" w:rsidRDefault="000959AA">
      <w:pPr>
        <w:pStyle w:val="a0"/>
        <w:ind w:left="1300" w:hanging="880"/>
        <w:rPr>
          <w:rFonts w:ascii="黑体" w:eastAsia="黑体" w:hAnsi="黑体"/>
          <w:sz w:val="44"/>
          <w:szCs w:val="44"/>
        </w:rPr>
      </w:pPr>
    </w:p>
    <w:p w:rsidR="000959AA" w:rsidRDefault="000959AA">
      <w:pPr>
        <w:rPr>
          <w:rFonts w:ascii="黑体" w:eastAsia="黑体" w:hAnsi="黑体"/>
          <w:sz w:val="44"/>
          <w:szCs w:val="44"/>
        </w:rPr>
      </w:pPr>
    </w:p>
    <w:p w:rsidR="000959AA" w:rsidRDefault="000959AA">
      <w:pPr>
        <w:pStyle w:val="a0"/>
        <w:ind w:left="1300" w:hanging="880"/>
        <w:rPr>
          <w:rFonts w:ascii="黑体" w:eastAsia="黑体" w:hAnsi="黑体"/>
          <w:sz w:val="44"/>
          <w:szCs w:val="44"/>
        </w:rPr>
      </w:pPr>
    </w:p>
    <w:p w:rsidR="000959AA" w:rsidRDefault="000959AA">
      <w:pPr>
        <w:rPr>
          <w:rFonts w:ascii="黑体" w:eastAsia="黑体" w:hAnsi="黑体"/>
          <w:sz w:val="44"/>
          <w:szCs w:val="44"/>
        </w:rPr>
      </w:pPr>
    </w:p>
    <w:p w:rsidR="000959AA" w:rsidRDefault="000959AA">
      <w:pPr>
        <w:pStyle w:val="a0"/>
        <w:ind w:left="1300" w:hanging="880"/>
        <w:rPr>
          <w:rFonts w:ascii="黑体" w:eastAsia="黑体" w:hAnsi="黑体"/>
          <w:sz w:val="44"/>
          <w:szCs w:val="44"/>
        </w:rPr>
      </w:pPr>
    </w:p>
    <w:p w:rsidR="000959AA" w:rsidRDefault="000959AA">
      <w:pPr>
        <w:rPr>
          <w:rFonts w:ascii="黑体" w:eastAsia="黑体" w:hAnsi="黑体"/>
          <w:sz w:val="44"/>
          <w:szCs w:val="44"/>
        </w:rPr>
      </w:pPr>
    </w:p>
    <w:p w:rsidR="000959AA" w:rsidRDefault="000959AA">
      <w:pPr>
        <w:pStyle w:val="a0"/>
        <w:ind w:left="1300" w:hanging="880"/>
        <w:rPr>
          <w:rFonts w:ascii="黑体" w:eastAsia="黑体" w:hAnsi="黑体"/>
          <w:sz w:val="44"/>
          <w:szCs w:val="44"/>
        </w:rPr>
      </w:pPr>
    </w:p>
    <w:p w:rsidR="000959AA" w:rsidRDefault="000959AA">
      <w:pPr>
        <w:rPr>
          <w:rFonts w:ascii="黑体" w:eastAsia="黑体" w:hAnsi="黑体"/>
          <w:sz w:val="44"/>
          <w:szCs w:val="44"/>
        </w:rPr>
      </w:pPr>
    </w:p>
    <w:p w:rsidR="000959AA" w:rsidRDefault="000959AA">
      <w:pPr>
        <w:pStyle w:val="a0"/>
        <w:ind w:left="1300" w:hanging="880"/>
        <w:rPr>
          <w:rFonts w:ascii="黑体" w:eastAsia="黑体" w:hAnsi="黑体"/>
          <w:sz w:val="44"/>
          <w:szCs w:val="44"/>
        </w:rPr>
      </w:pPr>
    </w:p>
    <w:p w:rsidR="000959AA" w:rsidRDefault="000959AA">
      <w:pPr>
        <w:rPr>
          <w:rFonts w:ascii="黑体" w:eastAsia="黑体" w:hAnsi="黑体"/>
          <w:sz w:val="44"/>
          <w:szCs w:val="44"/>
        </w:rPr>
      </w:pPr>
    </w:p>
    <w:p w:rsidR="000959AA" w:rsidRDefault="000959AA">
      <w:pPr>
        <w:pStyle w:val="a0"/>
        <w:ind w:left="1300" w:hanging="880"/>
        <w:rPr>
          <w:rFonts w:ascii="黑体" w:eastAsia="黑体" w:hAnsi="黑体"/>
          <w:sz w:val="44"/>
          <w:szCs w:val="44"/>
        </w:rPr>
      </w:pPr>
    </w:p>
    <w:p w:rsidR="000959AA" w:rsidRDefault="000959AA"/>
    <w:p w:rsidR="000959AA" w:rsidRDefault="000959AA"/>
    <w:p w:rsidR="000959AA" w:rsidRDefault="000959AA">
      <w:pPr>
        <w:spacing w:line="600" w:lineRule="exact"/>
        <w:jc w:val="center"/>
        <w:outlineLvl w:val="0"/>
        <w:rPr>
          <w:rFonts w:ascii="黑体" w:eastAsia="黑体" w:hAnsi="黑体"/>
          <w:sz w:val="44"/>
          <w:szCs w:val="44"/>
        </w:rPr>
      </w:pPr>
    </w:p>
    <w:p w:rsidR="000959AA" w:rsidRDefault="000959AA">
      <w:pPr>
        <w:spacing w:line="600" w:lineRule="exact"/>
        <w:jc w:val="center"/>
        <w:outlineLvl w:val="0"/>
        <w:rPr>
          <w:rFonts w:ascii="黑体" w:eastAsia="黑体" w:hAnsi="黑体"/>
          <w:sz w:val="44"/>
          <w:szCs w:val="44"/>
        </w:rPr>
      </w:pPr>
    </w:p>
    <w:p w:rsidR="000959AA" w:rsidRDefault="000959AA">
      <w:pPr>
        <w:pStyle w:val="a0"/>
        <w:ind w:left="1300" w:hanging="880"/>
        <w:rPr>
          <w:rFonts w:ascii="黑体" w:eastAsia="黑体" w:hAnsi="黑体"/>
          <w:sz w:val="44"/>
          <w:szCs w:val="44"/>
        </w:rPr>
      </w:pPr>
    </w:p>
    <w:p w:rsidR="000959AA" w:rsidRDefault="000959AA"/>
    <w:p w:rsidR="000959AA" w:rsidRDefault="00953201">
      <w:pPr>
        <w:spacing w:line="600" w:lineRule="exact"/>
        <w:jc w:val="center"/>
        <w:outlineLvl w:val="0"/>
        <w:rPr>
          <w:rStyle w:val="1Char"/>
          <w:rFonts w:ascii="黑体" w:eastAsia="黑体" w:hAnsi="黑体"/>
          <w:b w:val="0"/>
        </w:rPr>
      </w:pPr>
      <w:r>
        <w:rPr>
          <w:rFonts w:ascii="黑体" w:eastAsia="黑体" w:hAnsi="黑体" w:hint="eastAsia"/>
          <w:sz w:val="44"/>
          <w:szCs w:val="44"/>
        </w:rPr>
        <w:lastRenderedPageBreak/>
        <w:t>第</w:t>
      </w:r>
      <w:r>
        <w:rPr>
          <w:rStyle w:val="1Char"/>
          <w:rFonts w:ascii="黑体" w:eastAsia="黑体" w:hAnsi="黑体" w:hint="eastAsia"/>
          <w:b w:val="0"/>
        </w:rPr>
        <w:t>四部分 附件</w:t>
      </w:r>
    </w:p>
    <w:p w:rsidR="000959AA" w:rsidRDefault="00953201">
      <w:pPr>
        <w:pStyle w:val="ab"/>
        <w:spacing w:line="600" w:lineRule="exact"/>
        <w:jc w:val="distribute"/>
        <w:rPr>
          <w:rFonts w:hAnsi="仿宋_GB2312" w:cs="仿宋_GB2312"/>
          <w:sz w:val="32"/>
          <w:szCs w:val="32"/>
        </w:rPr>
      </w:pPr>
      <w:r>
        <w:rPr>
          <w:rFonts w:ascii="仿宋_GB2312" w:eastAsia="仿宋_GB2312" w:hAnsi="仿宋_GB2312" w:cs="仿宋_GB2312" w:hint="eastAsia"/>
          <w:sz w:val="32"/>
          <w:szCs w:val="32"/>
        </w:rPr>
        <w:t xml:space="preserve">    本单位在2021年度部门决算公开中选取“</w:t>
      </w:r>
      <w:r>
        <w:rPr>
          <w:rFonts w:hAnsi="仿宋_GB2312" w:cs="仿宋_GB2312" w:hint="eastAsia"/>
          <w:sz w:val="32"/>
          <w:szCs w:val="32"/>
        </w:rPr>
        <w:t>迁建二期基建项目</w:t>
      </w:r>
      <w:r>
        <w:rPr>
          <w:rFonts w:ascii="仿宋_GB2312" w:eastAsia="仿宋_GB2312" w:hAnsi="仿宋_GB2312" w:cs="仿宋_GB2312" w:hint="eastAsia"/>
          <w:sz w:val="32"/>
          <w:szCs w:val="32"/>
        </w:rPr>
        <w:t>”、</w:t>
      </w:r>
      <w:r>
        <w:rPr>
          <w:rFonts w:hAnsi="仿宋_GB2312" w:cs="仿宋_GB2312" w:hint="eastAsia"/>
          <w:sz w:val="32"/>
          <w:szCs w:val="32"/>
        </w:rPr>
        <w:t>“迁建一期资金</w:t>
      </w:r>
      <w:r>
        <w:rPr>
          <w:rFonts w:ascii="仿宋_GB2312" w:eastAsia="仿宋_GB2312" w:hAnsi="仿宋_GB2312" w:cs="仿宋_GB2312" w:hint="eastAsia"/>
          <w:sz w:val="32"/>
          <w:szCs w:val="32"/>
        </w:rPr>
        <w:t>”、“</w:t>
      </w:r>
      <w:r>
        <w:rPr>
          <w:rFonts w:hAnsi="仿宋_GB2312" w:cs="仿宋_GB2312" w:hint="eastAsia"/>
          <w:sz w:val="32"/>
          <w:szCs w:val="32"/>
        </w:rPr>
        <w:t>消防整改资金</w:t>
      </w:r>
      <w:r>
        <w:rPr>
          <w:rFonts w:ascii="仿宋_GB2312" w:eastAsia="仿宋_GB2312" w:hAnsi="仿宋_GB2312" w:cs="仿宋_GB2312" w:hint="eastAsia"/>
          <w:sz w:val="32"/>
          <w:szCs w:val="32"/>
        </w:rPr>
        <w:t>”、“医疗服务与能力提升”、</w:t>
      </w:r>
      <w:proofErr w:type="gramStart"/>
      <w:r>
        <w:rPr>
          <w:rFonts w:ascii="仿宋_GB2312" w:eastAsia="仿宋_GB2312" w:hAnsi="仿宋_GB2312" w:cs="仿宋_GB2312" w:hint="eastAsia"/>
          <w:sz w:val="32"/>
          <w:szCs w:val="32"/>
        </w:rPr>
        <w:t>“</w:t>
      </w:r>
      <w:proofErr w:type="gramEnd"/>
      <w:r>
        <w:rPr>
          <w:rFonts w:hAnsi="仿宋_GB2312" w:cs="仿宋_GB2312" w:hint="eastAsia"/>
          <w:sz w:val="32"/>
          <w:szCs w:val="32"/>
        </w:rPr>
        <w:t>新冠病毒核酸检测“应检尽检”费用</w:t>
      </w:r>
    </w:p>
    <w:p w:rsidR="000959AA" w:rsidRDefault="00953201">
      <w:pPr>
        <w:pStyle w:val="a4"/>
        <w:spacing w:before="93"/>
        <w:rPr>
          <w:rFonts w:ascii="黑体" w:eastAsia="黑体" w:hAnsi="黑体"/>
          <w:sz w:val="44"/>
          <w:szCs w:val="44"/>
        </w:rPr>
      </w:pPr>
      <w:r>
        <w:rPr>
          <w:rFonts w:hAnsi="仿宋_GB2312" w:cs="仿宋_GB2312" w:hint="eastAsia"/>
          <w:sz w:val="32"/>
          <w:szCs w:val="32"/>
        </w:rPr>
        <w:t>”6个项目绩效目标实际完成情况进行公开。</w:t>
      </w:r>
    </w:p>
    <w:tbl>
      <w:tblPr>
        <w:tblpPr w:leftFromText="180" w:rightFromText="180" w:vertAnchor="text" w:horzAnchor="page" w:tblpX="1300" w:tblpY="261"/>
        <w:tblOverlap w:val="never"/>
        <w:tblW w:w="9619" w:type="dxa"/>
        <w:tblLayout w:type="fixed"/>
        <w:tblLook w:val="04A0" w:firstRow="1" w:lastRow="0" w:firstColumn="1" w:lastColumn="0" w:noHBand="0" w:noVBand="1"/>
      </w:tblPr>
      <w:tblGrid>
        <w:gridCol w:w="1935"/>
        <w:gridCol w:w="1119"/>
        <w:gridCol w:w="1453"/>
        <w:gridCol w:w="1375"/>
        <w:gridCol w:w="1573"/>
        <w:gridCol w:w="1928"/>
        <w:gridCol w:w="236"/>
      </w:tblGrid>
      <w:tr w:rsidR="000959AA">
        <w:trPr>
          <w:trHeight w:val="1889"/>
        </w:trPr>
        <w:tc>
          <w:tcPr>
            <w:tcW w:w="9383" w:type="dxa"/>
            <w:gridSpan w:val="6"/>
            <w:tcBorders>
              <w:top w:val="nil"/>
              <w:left w:val="nil"/>
              <w:bottom w:val="nil"/>
              <w:right w:val="nil"/>
            </w:tcBorders>
            <w:shd w:val="clear" w:color="auto" w:fill="auto"/>
            <w:vAlign w:val="center"/>
          </w:tcPr>
          <w:p w:rsidR="000959AA" w:rsidRDefault="00953201">
            <w:pPr>
              <w:widowControl/>
              <w:adjustRightInd w:val="0"/>
              <w:snapToGrid w:val="0"/>
              <w:spacing w:line="580" w:lineRule="exact"/>
              <w:contextualSpacing/>
              <w:jc w:val="left"/>
            </w:pPr>
            <w:bookmarkStart w:id="54" w:name="_Toc15396618"/>
            <w:bookmarkEnd w:id="52"/>
            <w:r>
              <w:rPr>
                <w:rFonts w:hint="eastAsia"/>
              </w:rPr>
              <w:t>附件</w:t>
            </w:r>
            <w:r>
              <w:rPr>
                <w:rFonts w:hint="eastAsia"/>
              </w:rPr>
              <w:t>1</w:t>
            </w:r>
            <w:r>
              <w:rPr>
                <w:rFonts w:hint="eastAsia"/>
              </w:rPr>
              <w:t>：</w:t>
            </w:r>
          </w:p>
          <w:p w:rsidR="000959AA" w:rsidRDefault="00953201">
            <w:pPr>
              <w:pStyle w:val="a0"/>
              <w:ind w:left="1022" w:hanging="602"/>
              <w:jc w:val="center"/>
            </w:pPr>
            <w:r>
              <w:rPr>
                <w:rFonts w:hint="eastAsia"/>
                <w:b/>
                <w:bCs/>
                <w:sz w:val="30"/>
                <w:szCs w:val="30"/>
              </w:rPr>
              <w:t>2021</w:t>
            </w:r>
            <w:r>
              <w:rPr>
                <w:rFonts w:hint="eastAsia"/>
                <w:b/>
                <w:bCs/>
                <w:sz w:val="30"/>
                <w:szCs w:val="30"/>
              </w:rPr>
              <w:t>年</w:t>
            </w:r>
            <w:r>
              <w:rPr>
                <w:rFonts w:hint="eastAsia"/>
                <w:b/>
                <w:bCs/>
                <w:sz w:val="30"/>
                <w:szCs w:val="30"/>
              </w:rPr>
              <w:t>100</w:t>
            </w:r>
            <w:r>
              <w:rPr>
                <w:rFonts w:hint="eastAsia"/>
                <w:b/>
                <w:bCs/>
                <w:sz w:val="30"/>
                <w:szCs w:val="30"/>
              </w:rPr>
              <w:t>万元以上（含）特定目标类部门预算项目绩效目标自评</w:t>
            </w:r>
          </w:p>
        </w:tc>
        <w:tc>
          <w:tcPr>
            <w:tcW w:w="236" w:type="dxa"/>
            <w:tcBorders>
              <w:top w:val="nil"/>
              <w:left w:val="nil"/>
              <w:bottom w:val="nil"/>
              <w:right w:val="nil"/>
            </w:tcBorders>
            <w:shd w:val="clear" w:color="auto" w:fill="auto"/>
            <w:vAlign w:val="center"/>
          </w:tcPr>
          <w:p w:rsidR="000959AA" w:rsidRDefault="000959AA">
            <w:pPr>
              <w:widowControl/>
              <w:jc w:val="center"/>
              <w:textAlignment w:val="center"/>
              <w:rPr>
                <w:rFonts w:ascii="宋体" w:hAnsi="宋体" w:cs="宋体"/>
                <w:b/>
                <w:kern w:val="0"/>
                <w:sz w:val="32"/>
                <w:szCs w:val="32"/>
              </w:rPr>
            </w:pPr>
          </w:p>
        </w:tc>
      </w:tr>
      <w:tr w:rsidR="000959AA">
        <w:trPr>
          <w:gridAfter w:val="1"/>
          <w:wAfter w:w="236" w:type="dxa"/>
          <w:trHeight w:val="816"/>
        </w:trPr>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主管部门及代码</w:t>
            </w: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textAlignment w:val="center"/>
              <w:rPr>
                <w:rFonts w:ascii="宋体" w:hAnsi="宋体" w:cs="宋体"/>
                <w:sz w:val="24"/>
              </w:rPr>
            </w:pPr>
            <w:r>
              <w:rPr>
                <w:rFonts w:ascii="宋体" w:hAnsi="宋体" w:cs="宋体" w:hint="eastAsia"/>
                <w:sz w:val="24"/>
              </w:rPr>
              <w:t>宜宾市</w:t>
            </w:r>
            <w:proofErr w:type="gramStart"/>
            <w:r>
              <w:rPr>
                <w:rFonts w:ascii="宋体" w:hAnsi="宋体" w:cs="宋体" w:hint="eastAsia"/>
                <w:sz w:val="24"/>
              </w:rPr>
              <w:t>卫健委</w:t>
            </w:r>
            <w:proofErr w:type="gramEnd"/>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实施单位</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sz w:val="24"/>
              </w:rPr>
              <w:t>宜宾市妇幼保健计划生育服务中心</w:t>
            </w:r>
          </w:p>
        </w:tc>
      </w:tr>
      <w:tr w:rsidR="000959AA">
        <w:trPr>
          <w:gridAfter w:val="1"/>
          <w:wAfter w:w="236" w:type="dxa"/>
          <w:trHeight w:val="469"/>
        </w:trPr>
        <w:tc>
          <w:tcPr>
            <w:tcW w:w="305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项目预算</w:t>
            </w:r>
            <w:r>
              <w:rPr>
                <w:rFonts w:ascii="宋体" w:hAnsi="宋体" w:cs="宋体" w:hint="eastAsia"/>
                <w:kern w:val="0"/>
                <w:sz w:val="24"/>
              </w:rPr>
              <w:br/>
              <w:t>执行情况</w:t>
            </w:r>
            <w:r>
              <w:rPr>
                <w:rFonts w:ascii="宋体" w:hAnsi="宋体" w:cs="宋体" w:hint="eastAsia"/>
                <w:kern w:val="0"/>
                <w:sz w:val="24"/>
              </w:rPr>
              <w:br/>
              <w:t>（万元）</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 xml:space="preserve"> 预算数：</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sz w:val="24"/>
              </w:rPr>
              <w:t>257.33</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 xml:space="preserve"> 执行数：</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rPr>
              <w:t>257.33</w:t>
            </w:r>
          </w:p>
        </w:tc>
      </w:tr>
      <w:tr w:rsidR="000959AA">
        <w:trPr>
          <w:gridAfter w:val="1"/>
          <w:wAfter w:w="236" w:type="dxa"/>
          <w:trHeight w:val="848"/>
        </w:trPr>
        <w:tc>
          <w:tcPr>
            <w:tcW w:w="305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sz w:val="24"/>
              </w:rPr>
              <w:t>257.33</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rPr>
              <w:t>257.33</w:t>
            </w:r>
          </w:p>
        </w:tc>
      </w:tr>
      <w:tr w:rsidR="000959AA">
        <w:trPr>
          <w:gridAfter w:val="1"/>
          <w:wAfter w:w="236" w:type="dxa"/>
          <w:trHeight w:val="469"/>
        </w:trPr>
        <w:tc>
          <w:tcPr>
            <w:tcW w:w="305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widowControl/>
              <w:spacing w:line="320" w:lineRule="exact"/>
              <w:jc w:val="left"/>
              <w:textAlignment w:val="center"/>
              <w:rPr>
                <w:rFonts w:ascii="宋体" w:hAnsi="宋体" w:cs="宋体"/>
                <w:sz w:val="24"/>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widowControl/>
              <w:spacing w:line="320" w:lineRule="exact"/>
              <w:jc w:val="center"/>
              <w:textAlignment w:val="center"/>
              <w:rPr>
                <w:rFonts w:ascii="宋体" w:hAnsi="宋体" w:cs="宋体"/>
                <w:sz w:val="24"/>
              </w:rPr>
            </w:pPr>
          </w:p>
        </w:tc>
      </w:tr>
      <w:tr w:rsidR="000959AA">
        <w:trPr>
          <w:gridAfter w:val="1"/>
          <w:wAfter w:w="236" w:type="dxa"/>
          <w:trHeight w:val="441"/>
        </w:trPr>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kern w:val="0"/>
                <w:sz w:val="24"/>
              </w:rPr>
            </w:pPr>
            <w:r>
              <w:rPr>
                <w:rFonts w:ascii="宋体" w:hAnsi="宋体" w:cs="宋体" w:hint="eastAsia"/>
                <w:kern w:val="0"/>
                <w:sz w:val="24"/>
              </w:rPr>
              <w:t>年度总体目标</w:t>
            </w:r>
          </w:p>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完成情况</w:t>
            </w:r>
          </w:p>
        </w:tc>
        <w:tc>
          <w:tcPr>
            <w:tcW w:w="39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预期目标</w:t>
            </w:r>
          </w:p>
        </w:tc>
        <w:tc>
          <w:tcPr>
            <w:tcW w:w="35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目标实际完成情况</w:t>
            </w:r>
          </w:p>
        </w:tc>
      </w:tr>
      <w:tr w:rsidR="000959AA">
        <w:trPr>
          <w:gridAfter w:val="1"/>
          <w:wAfter w:w="236" w:type="dxa"/>
          <w:trHeight w:val="1610"/>
        </w:trPr>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3947" w:type="dxa"/>
            <w:gridSpan w:val="3"/>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迁建二期工程：修建宜宾市妇幼保健院保健中心门诊楼，配套部分给排水、变配电等公用工程。</w:t>
            </w:r>
          </w:p>
          <w:p w:rsidR="000959AA" w:rsidRDefault="000959AA">
            <w:pPr>
              <w:widowControl/>
              <w:spacing w:line="320" w:lineRule="exact"/>
              <w:jc w:val="left"/>
              <w:textAlignment w:val="top"/>
              <w:rPr>
                <w:rFonts w:ascii="宋体" w:hAnsi="宋体" w:cs="宋体"/>
                <w:sz w:val="24"/>
              </w:rPr>
            </w:pPr>
          </w:p>
        </w:tc>
        <w:tc>
          <w:tcPr>
            <w:tcW w:w="3501" w:type="dxa"/>
            <w:gridSpan w:val="2"/>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完成修建宜宾市妇幼保健院保健中心门诊楼，配套部分给排水、变配电等公用工程。</w:t>
            </w:r>
          </w:p>
          <w:p w:rsidR="000959AA" w:rsidRDefault="000959AA">
            <w:pPr>
              <w:widowControl/>
              <w:spacing w:line="320" w:lineRule="exact"/>
              <w:jc w:val="left"/>
              <w:textAlignment w:val="top"/>
              <w:rPr>
                <w:rFonts w:ascii="宋体" w:hAnsi="宋体" w:cs="宋体"/>
                <w:sz w:val="24"/>
              </w:rPr>
            </w:pPr>
          </w:p>
        </w:tc>
      </w:tr>
      <w:tr w:rsidR="000959AA">
        <w:trPr>
          <w:gridAfter w:val="1"/>
          <w:wAfter w:w="236" w:type="dxa"/>
          <w:trHeight w:val="916"/>
        </w:trPr>
        <w:tc>
          <w:tcPr>
            <w:tcW w:w="1935" w:type="dxa"/>
            <w:vMerge w:val="restart"/>
            <w:tcBorders>
              <w:top w:val="single" w:sz="4" w:space="0" w:color="000000"/>
              <w:left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119" w:type="dxa"/>
            <w:tcBorders>
              <w:top w:val="single" w:sz="4" w:space="0" w:color="000000"/>
              <w:left w:val="nil"/>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0959AA">
        <w:trPr>
          <w:gridAfter w:val="1"/>
          <w:wAfter w:w="236" w:type="dxa"/>
          <w:trHeight w:val="1065"/>
        </w:trPr>
        <w:tc>
          <w:tcPr>
            <w:tcW w:w="1935" w:type="dxa"/>
            <w:vMerge/>
            <w:tcBorders>
              <w:left w:val="single" w:sz="4" w:space="0" w:color="000000"/>
              <w:right w:val="single" w:sz="4" w:space="0" w:color="000000"/>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数量指标</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新建门诊楼一栋</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全面完成修建</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完成修建</w:t>
            </w:r>
          </w:p>
        </w:tc>
      </w:tr>
      <w:tr w:rsidR="000959AA">
        <w:trPr>
          <w:gridAfter w:val="1"/>
          <w:wAfter w:w="236" w:type="dxa"/>
          <w:trHeight w:val="816"/>
        </w:trPr>
        <w:tc>
          <w:tcPr>
            <w:tcW w:w="1935" w:type="dxa"/>
            <w:vMerge/>
            <w:tcBorders>
              <w:left w:val="single" w:sz="4" w:space="0" w:color="000000"/>
              <w:right w:val="single" w:sz="4" w:space="0" w:color="000000"/>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1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质量指标</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符合国家建筑标准</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textAlignment w:val="bottom"/>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符合国家建筑标准</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bottom"/>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符合国家建筑标准</w:t>
            </w:r>
          </w:p>
        </w:tc>
      </w:tr>
      <w:tr w:rsidR="000959AA">
        <w:trPr>
          <w:gridAfter w:val="1"/>
          <w:wAfter w:w="236" w:type="dxa"/>
          <w:trHeight w:val="1237"/>
        </w:trPr>
        <w:tc>
          <w:tcPr>
            <w:tcW w:w="1935" w:type="dxa"/>
            <w:vMerge/>
            <w:tcBorders>
              <w:left w:val="single" w:sz="4" w:space="0" w:color="000000"/>
              <w:right w:val="single" w:sz="4" w:space="0" w:color="000000"/>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1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  指标</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val="zh-CN"/>
              </w:rPr>
              <w:t>提升全市人民就医质量</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val="zh-CN"/>
              </w:rPr>
              <w:t>提升全市人民就医质量</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val="zh-CN"/>
              </w:rPr>
              <w:t>提升全市人民就医质量</w:t>
            </w:r>
          </w:p>
        </w:tc>
      </w:tr>
    </w:tbl>
    <w:tbl>
      <w:tblPr>
        <w:tblpPr w:leftFromText="180" w:rightFromText="180" w:vertAnchor="text" w:horzAnchor="page" w:tblpX="1281" w:tblpY="660"/>
        <w:tblOverlap w:val="never"/>
        <w:tblW w:w="9859" w:type="dxa"/>
        <w:tblLayout w:type="fixed"/>
        <w:tblLook w:val="04A0" w:firstRow="1" w:lastRow="0" w:firstColumn="1" w:lastColumn="0" w:noHBand="0" w:noVBand="1"/>
      </w:tblPr>
      <w:tblGrid>
        <w:gridCol w:w="1861"/>
        <w:gridCol w:w="124"/>
        <w:gridCol w:w="952"/>
        <w:gridCol w:w="196"/>
        <w:gridCol w:w="1201"/>
        <w:gridCol w:w="290"/>
        <w:gridCol w:w="1060"/>
        <w:gridCol w:w="350"/>
        <w:gridCol w:w="973"/>
        <w:gridCol w:w="377"/>
        <w:gridCol w:w="1740"/>
        <w:gridCol w:w="360"/>
        <w:gridCol w:w="138"/>
        <w:gridCol w:w="237"/>
      </w:tblGrid>
      <w:tr w:rsidR="000959AA">
        <w:trPr>
          <w:trHeight w:val="692"/>
        </w:trPr>
        <w:tc>
          <w:tcPr>
            <w:tcW w:w="9622" w:type="dxa"/>
            <w:gridSpan w:val="13"/>
            <w:tcBorders>
              <w:top w:val="nil"/>
              <w:left w:val="nil"/>
              <w:bottom w:val="nil"/>
              <w:right w:val="nil"/>
            </w:tcBorders>
            <w:shd w:val="clear" w:color="auto" w:fill="auto"/>
            <w:vAlign w:val="center"/>
          </w:tcPr>
          <w:p w:rsidR="000959AA" w:rsidRDefault="00953201">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t>附件2：</w:t>
            </w:r>
          </w:p>
          <w:p w:rsidR="000959AA" w:rsidRDefault="00953201">
            <w:pPr>
              <w:widowControl/>
              <w:adjustRightInd w:val="0"/>
              <w:snapToGrid w:val="0"/>
              <w:spacing w:line="580" w:lineRule="exact"/>
              <w:contextualSpacing/>
              <w:jc w:val="left"/>
              <w:rPr>
                <w:rFonts w:ascii="宋体" w:hAnsi="宋体" w:cs="宋体"/>
                <w:b/>
                <w:sz w:val="32"/>
                <w:szCs w:val="32"/>
              </w:rPr>
            </w:pPr>
            <w:r>
              <w:rPr>
                <w:rFonts w:ascii="宋体" w:hAnsi="宋体" w:cs="宋体" w:hint="eastAsia"/>
                <w:b/>
                <w:sz w:val="32"/>
                <w:szCs w:val="32"/>
              </w:rPr>
              <w:t>2021年100万元以上（含）特定目标类部门预算项目绩效目标自评</w:t>
            </w:r>
          </w:p>
        </w:tc>
        <w:tc>
          <w:tcPr>
            <w:tcW w:w="237" w:type="dxa"/>
            <w:tcBorders>
              <w:top w:val="nil"/>
              <w:left w:val="nil"/>
              <w:bottom w:val="nil"/>
              <w:right w:val="nil"/>
            </w:tcBorders>
            <w:shd w:val="clear" w:color="auto" w:fill="auto"/>
            <w:vAlign w:val="center"/>
          </w:tcPr>
          <w:p w:rsidR="000959AA" w:rsidRDefault="000959AA">
            <w:pPr>
              <w:widowControl/>
              <w:jc w:val="center"/>
              <w:textAlignment w:val="center"/>
              <w:rPr>
                <w:rFonts w:ascii="宋体" w:hAnsi="宋体" w:cs="宋体"/>
                <w:b/>
                <w:kern w:val="0"/>
                <w:sz w:val="32"/>
                <w:szCs w:val="32"/>
              </w:rPr>
            </w:pPr>
          </w:p>
        </w:tc>
      </w:tr>
      <w:tr w:rsidR="000959AA">
        <w:trPr>
          <w:gridAfter w:val="1"/>
          <w:wAfter w:w="237" w:type="dxa"/>
          <w:trHeight w:val="338"/>
        </w:trPr>
        <w:tc>
          <w:tcPr>
            <w:tcW w:w="3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主管部门及代码</w:t>
            </w:r>
          </w:p>
        </w:tc>
        <w:tc>
          <w:tcPr>
            <w:tcW w:w="29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textAlignment w:val="center"/>
              <w:rPr>
                <w:rFonts w:ascii="宋体" w:hAnsi="宋体" w:cs="宋体"/>
                <w:sz w:val="24"/>
              </w:rPr>
            </w:pPr>
            <w:r>
              <w:rPr>
                <w:rFonts w:ascii="宋体" w:hAnsi="宋体" w:cs="宋体" w:hint="eastAsia"/>
                <w:sz w:val="24"/>
              </w:rPr>
              <w:t>宜宾市</w:t>
            </w:r>
            <w:proofErr w:type="gramStart"/>
            <w:r>
              <w:rPr>
                <w:rFonts w:ascii="宋体" w:hAnsi="宋体" w:cs="宋体" w:hint="eastAsia"/>
                <w:sz w:val="24"/>
              </w:rPr>
              <w:t>卫健委</w:t>
            </w:r>
            <w:proofErr w:type="gramEnd"/>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实施单位</w:t>
            </w:r>
          </w:p>
        </w:tc>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sz w:val="24"/>
              </w:rPr>
              <w:t>宜宾市妇幼保健计划生育服务中心</w:t>
            </w:r>
          </w:p>
        </w:tc>
      </w:tr>
      <w:tr w:rsidR="000959AA">
        <w:trPr>
          <w:gridAfter w:val="1"/>
          <w:wAfter w:w="237" w:type="dxa"/>
          <w:trHeight w:val="360"/>
        </w:trPr>
        <w:tc>
          <w:tcPr>
            <w:tcW w:w="313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项目预算</w:t>
            </w:r>
            <w:r>
              <w:rPr>
                <w:rFonts w:ascii="宋体" w:hAnsi="宋体" w:cs="宋体" w:hint="eastAsia"/>
                <w:kern w:val="0"/>
                <w:sz w:val="24"/>
              </w:rPr>
              <w:br/>
              <w:t>执行情况</w:t>
            </w:r>
            <w:r>
              <w:rPr>
                <w:rFonts w:ascii="宋体" w:hAnsi="宋体" w:cs="宋体" w:hint="eastAsia"/>
                <w:kern w:val="0"/>
                <w:sz w:val="24"/>
              </w:rPr>
              <w:br/>
              <w:t>（万元）</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 xml:space="preserve"> 预算数：</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rPr>
              <w:t>58</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 xml:space="preserve"> 执行数：</w:t>
            </w:r>
          </w:p>
        </w:tc>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rPr>
              <w:t>58</w:t>
            </w:r>
          </w:p>
        </w:tc>
      </w:tr>
      <w:tr w:rsidR="000959AA">
        <w:trPr>
          <w:gridAfter w:val="1"/>
          <w:wAfter w:w="237" w:type="dxa"/>
          <w:trHeight w:val="666"/>
        </w:trPr>
        <w:tc>
          <w:tcPr>
            <w:tcW w:w="313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rPr>
              <w:t>58</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rPr>
              <w:t>58</w:t>
            </w:r>
          </w:p>
        </w:tc>
      </w:tr>
      <w:tr w:rsidR="000959AA">
        <w:trPr>
          <w:gridAfter w:val="1"/>
          <w:wAfter w:w="237" w:type="dxa"/>
          <w:trHeight w:val="360"/>
        </w:trPr>
        <w:tc>
          <w:tcPr>
            <w:tcW w:w="313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widowControl/>
              <w:spacing w:line="320" w:lineRule="exact"/>
              <w:jc w:val="left"/>
              <w:textAlignment w:val="center"/>
              <w:rPr>
                <w:rFonts w:ascii="宋体" w:hAnsi="宋体" w:cs="宋体"/>
                <w:sz w:val="24"/>
              </w:rPr>
            </w:pP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widowControl/>
              <w:spacing w:line="320" w:lineRule="exact"/>
              <w:jc w:val="center"/>
              <w:textAlignment w:val="center"/>
              <w:rPr>
                <w:rFonts w:ascii="宋体" w:hAnsi="宋体" w:cs="宋体"/>
                <w:sz w:val="24"/>
              </w:rPr>
            </w:pPr>
          </w:p>
        </w:tc>
      </w:tr>
      <w:tr w:rsidR="000959AA">
        <w:trPr>
          <w:gridAfter w:val="1"/>
          <w:wAfter w:w="237" w:type="dxa"/>
          <w:trHeight w:val="338"/>
        </w:trPr>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kern w:val="0"/>
                <w:sz w:val="24"/>
              </w:rPr>
            </w:pPr>
            <w:r>
              <w:rPr>
                <w:rFonts w:ascii="宋体" w:hAnsi="宋体" w:cs="宋体" w:hint="eastAsia"/>
                <w:kern w:val="0"/>
                <w:sz w:val="24"/>
              </w:rPr>
              <w:t>年度总体目标</w:t>
            </w:r>
          </w:p>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完成情况</w:t>
            </w:r>
          </w:p>
        </w:tc>
        <w:tc>
          <w:tcPr>
            <w:tcW w:w="4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预期目标</w:t>
            </w:r>
          </w:p>
        </w:tc>
        <w:tc>
          <w:tcPr>
            <w:tcW w:w="358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目标实际完成情况</w:t>
            </w:r>
          </w:p>
        </w:tc>
      </w:tr>
      <w:tr w:rsidR="000959AA">
        <w:trPr>
          <w:gridAfter w:val="1"/>
          <w:wAfter w:w="237" w:type="dxa"/>
          <w:trHeight w:val="828"/>
        </w:trPr>
        <w:tc>
          <w:tcPr>
            <w:tcW w:w="1985" w:type="dxa"/>
            <w:gridSpan w:val="2"/>
            <w:vMerge/>
            <w:tcBorders>
              <w:top w:val="single" w:sz="4" w:space="0" w:color="000000"/>
              <w:left w:val="single" w:sz="4" w:space="0" w:color="000000"/>
              <w:bottom w:val="single" w:sz="4" w:space="0" w:color="auto"/>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4049" w:type="dxa"/>
            <w:gridSpan w:val="6"/>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修建宜宾市妇幼保健院保健中心门诊、住院、医技综合楼，</w:t>
            </w:r>
            <w:proofErr w:type="gramStart"/>
            <w:r>
              <w:rPr>
                <w:rFonts w:ascii="宋体" w:hAnsi="宋体" w:cs="宋体" w:hint="eastAsia"/>
                <w:kern w:val="0"/>
                <w:sz w:val="24"/>
                <w:lang w:val="zh-CN"/>
              </w:rPr>
              <w:t>配套给</w:t>
            </w:r>
            <w:proofErr w:type="gramEnd"/>
            <w:r>
              <w:rPr>
                <w:rFonts w:ascii="宋体" w:hAnsi="宋体" w:cs="宋体" w:hint="eastAsia"/>
                <w:kern w:val="0"/>
                <w:sz w:val="24"/>
                <w:lang w:val="zh-CN"/>
              </w:rPr>
              <w:t>排水、变配电、道路硬化、绿化等公用工程。</w:t>
            </w:r>
          </w:p>
          <w:p w:rsidR="000959AA" w:rsidRDefault="000959AA">
            <w:pPr>
              <w:widowControl/>
              <w:spacing w:line="320" w:lineRule="exact"/>
              <w:jc w:val="left"/>
              <w:textAlignment w:val="top"/>
              <w:rPr>
                <w:rFonts w:ascii="宋体" w:hAnsi="宋体" w:cs="宋体"/>
                <w:sz w:val="24"/>
              </w:rPr>
            </w:pPr>
          </w:p>
        </w:tc>
        <w:tc>
          <w:tcPr>
            <w:tcW w:w="3588" w:type="dxa"/>
            <w:gridSpan w:val="5"/>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修建宜宾市妇幼保健院保健中心门诊、住院、医技综合楼，</w:t>
            </w:r>
            <w:proofErr w:type="gramStart"/>
            <w:r>
              <w:rPr>
                <w:rFonts w:ascii="宋体" w:hAnsi="宋体" w:cs="宋体" w:hint="eastAsia"/>
                <w:kern w:val="0"/>
                <w:sz w:val="24"/>
                <w:lang w:val="zh-CN"/>
              </w:rPr>
              <w:t>配套给</w:t>
            </w:r>
            <w:proofErr w:type="gramEnd"/>
            <w:r>
              <w:rPr>
                <w:rFonts w:ascii="宋体" w:hAnsi="宋体" w:cs="宋体" w:hint="eastAsia"/>
                <w:kern w:val="0"/>
                <w:sz w:val="24"/>
                <w:lang w:val="zh-CN"/>
              </w:rPr>
              <w:t>排水、变配电、道路硬化、绿化等公用工程。</w:t>
            </w:r>
          </w:p>
          <w:p w:rsidR="000959AA" w:rsidRDefault="000959AA">
            <w:pPr>
              <w:widowControl/>
              <w:spacing w:line="320" w:lineRule="exact"/>
              <w:jc w:val="left"/>
              <w:textAlignment w:val="top"/>
              <w:rPr>
                <w:rFonts w:ascii="宋体" w:hAnsi="宋体" w:cs="宋体"/>
                <w:sz w:val="24"/>
              </w:rPr>
            </w:pPr>
          </w:p>
        </w:tc>
      </w:tr>
      <w:tr w:rsidR="000959AA">
        <w:trPr>
          <w:gridAfter w:val="1"/>
          <w:wAfter w:w="237" w:type="dxa"/>
          <w:trHeight w:val="721"/>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14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0959AA">
        <w:trPr>
          <w:gridAfter w:val="1"/>
          <w:wAfter w:w="237" w:type="dxa"/>
          <w:trHeight w:val="3215"/>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48" w:type="dxa"/>
            <w:gridSpan w:val="2"/>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数量指标</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textAlignment w:val="center"/>
              <w:rPr>
                <w:rFonts w:ascii="宋体" w:hAnsi="宋体" w:cs="宋体"/>
                <w:kern w:val="0"/>
                <w:sz w:val="24"/>
                <w:lang w:val="zh-CN"/>
              </w:rPr>
            </w:pPr>
            <w:r>
              <w:rPr>
                <w:rFonts w:ascii="宋体" w:hAnsi="宋体" w:cs="宋体" w:hint="eastAsia"/>
                <w:kern w:val="0"/>
                <w:sz w:val="24"/>
                <w:lang w:val="zh-CN"/>
              </w:rPr>
              <w:t>新建综合楼一栋配套经费</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textAlignment w:val="center"/>
              <w:rPr>
                <w:rFonts w:ascii="宋体" w:hAnsi="宋体" w:cs="宋体"/>
                <w:kern w:val="0"/>
                <w:sz w:val="24"/>
                <w:lang w:val="zh-CN"/>
              </w:rPr>
            </w:pPr>
            <w:r>
              <w:rPr>
                <w:rFonts w:ascii="宋体" w:hAnsi="宋体" w:cs="宋体" w:hint="eastAsia"/>
                <w:kern w:val="0"/>
                <w:sz w:val="24"/>
                <w:lang w:val="zh-CN"/>
              </w:rPr>
              <w:t>新建综合楼一栋配套经费</w:t>
            </w:r>
          </w:p>
        </w:tc>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仿宋_GB2312" w:eastAsia="仿宋_GB2312" w:hAnsi="仿宋_GB2312" w:cs="仿宋_GB2312"/>
                <w:sz w:val="28"/>
                <w:szCs w:val="28"/>
              </w:rPr>
            </w:pPr>
            <w:r>
              <w:rPr>
                <w:rFonts w:ascii="宋体" w:hAnsi="宋体" w:cs="宋体" w:hint="eastAsia"/>
                <w:kern w:val="0"/>
                <w:sz w:val="24"/>
                <w:lang w:val="zh-CN"/>
              </w:rPr>
              <w:t>目前主体结构封顶，二次结构砌体完成85%，内墙抹灰完成40%；纯地下室区域基础及抗水</w:t>
            </w:r>
            <w:proofErr w:type="gramStart"/>
            <w:r>
              <w:rPr>
                <w:rFonts w:ascii="宋体" w:hAnsi="宋体" w:cs="宋体" w:hint="eastAsia"/>
                <w:kern w:val="0"/>
                <w:sz w:val="24"/>
                <w:lang w:val="zh-CN"/>
              </w:rPr>
              <w:t>板施工</w:t>
            </w:r>
            <w:proofErr w:type="gramEnd"/>
            <w:r>
              <w:rPr>
                <w:rFonts w:ascii="宋体" w:hAnsi="宋体" w:cs="宋体" w:hint="eastAsia"/>
                <w:kern w:val="0"/>
                <w:sz w:val="24"/>
                <w:lang w:val="zh-CN"/>
              </w:rPr>
              <w:t>完成70%，负二层梁板、墙柱施工完成50%；地上层3层、地下室安装桥架、配</w:t>
            </w:r>
            <w:proofErr w:type="gramStart"/>
            <w:r>
              <w:rPr>
                <w:rFonts w:ascii="宋体" w:hAnsi="宋体" w:cs="宋体" w:hint="eastAsia"/>
                <w:kern w:val="0"/>
                <w:sz w:val="24"/>
                <w:lang w:val="zh-CN"/>
              </w:rPr>
              <w:t>管施工</w:t>
            </w:r>
            <w:proofErr w:type="gramEnd"/>
            <w:r>
              <w:rPr>
                <w:rFonts w:ascii="宋体" w:hAnsi="宋体" w:cs="宋体" w:hint="eastAsia"/>
                <w:kern w:val="0"/>
                <w:sz w:val="24"/>
                <w:lang w:val="zh-CN"/>
              </w:rPr>
              <w:t>完成。</w:t>
            </w:r>
          </w:p>
        </w:tc>
      </w:tr>
      <w:tr w:rsidR="000959AA">
        <w:trPr>
          <w:gridAfter w:val="1"/>
          <w:wAfter w:w="237" w:type="dxa"/>
          <w:trHeight w:val="436"/>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48" w:type="dxa"/>
            <w:gridSpan w:val="2"/>
            <w:vMerge/>
            <w:tcBorders>
              <w:top w:val="single" w:sz="4" w:space="0" w:color="000000"/>
              <w:left w:val="single" w:sz="4" w:space="0" w:color="auto"/>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质量指标</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符合国家建筑标准</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符合国家建筑标准</w:t>
            </w:r>
          </w:p>
        </w:tc>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完成</w:t>
            </w:r>
          </w:p>
        </w:tc>
      </w:tr>
      <w:tr w:rsidR="000959AA">
        <w:trPr>
          <w:gridAfter w:val="1"/>
          <w:wAfter w:w="237" w:type="dxa"/>
          <w:trHeight w:val="1370"/>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48" w:type="dxa"/>
            <w:gridSpan w:val="2"/>
            <w:vMerge/>
            <w:tcBorders>
              <w:top w:val="single" w:sz="4" w:space="0" w:color="000000"/>
              <w:left w:val="single" w:sz="4" w:space="0" w:color="auto"/>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时效指标</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textAlignment w:val="center"/>
              <w:rPr>
                <w:rFonts w:ascii="仿宋_GB2312" w:eastAsia="仿宋_GB2312" w:hAnsi="仿宋_GB2312" w:cs="仿宋_GB2312"/>
                <w:sz w:val="28"/>
                <w:szCs w:val="28"/>
              </w:rPr>
            </w:pPr>
            <w:r>
              <w:rPr>
                <w:rFonts w:ascii="宋体" w:hAnsi="宋体" w:cs="宋体" w:hint="eastAsia"/>
                <w:kern w:val="0"/>
                <w:sz w:val="24"/>
                <w:lang w:val="zh-CN"/>
              </w:rPr>
              <w:t>完成主体结构封顶</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textAlignment w:val="center"/>
              <w:rPr>
                <w:rFonts w:ascii="仿宋_GB2312" w:eastAsia="仿宋_GB2312" w:hAnsi="仿宋_GB2312" w:cs="仿宋_GB2312"/>
                <w:sz w:val="28"/>
                <w:szCs w:val="28"/>
              </w:rPr>
            </w:pPr>
            <w:r>
              <w:rPr>
                <w:rFonts w:ascii="宋体" w:hAnsi="宋体" w:cs="宋体" w:hint="eastAsia"/>
                <w:kern w:val="0"/>
                <w:sz w:val="24"/>
                <w:lang w:val="zh-CN"/>
              </w:rPr>
              <w:t>完成主体结构封顶</w:t>
            </w:r>
          </w:p>
        </w:tc>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textAlignment w:val="center"/>
              <w:rPr>
                <w:rFonts w:ascii="仿宋_GB2312" w:eastAsia="仿宋_GB2312" w:hAnsi="仿宋_GB2312" w:cs="仿宋_GB2312"/>
                <w:sz w:val="28"/>
                <w:szCs w:val="28"/>
              </w:rPr>
            </w:pPr>
            <w:r>
              <w:rPr>
                <w:rFonts w:ascii="宋体" w:hAnsi="宋体" w:cs="宋体" w:hint="eastAsia"/>
                <w:kern w:val="0"/>
                <w:sz w:val="24"/>
                <w:lang w:val="zh-CN"/>
              </w:rPr>
              <w:t>项目实际开工时间为2021年3月，于2021年底完成主体结构封顶，完成目标进度。</w:t>
            </w:r>
          </w:p>
        </w:tc>
      </w:tr>
      <w:tr w:rsidR="000959AA">
        <w:trPr>
          <w:gridAfter w:val="1"/>
          <w:wAfter w:w="237" w:type="dxa"/>
          <w:trHeight w:val="666"/>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48" w:type="dxa"/>
            <w:gridSpan w:val="2"/>
            <w:vMerge/>
            <w:tcBorders>
              <w:top w:val="single" w:sz="4" w:space="0" w:color="000000"/>
              <w:left w:val="single" w:sz="4" w:space="0" w:color="auto"/>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  指标</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提升全市人民就医质量</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提升全市人民就医质量</w:t>
            </w:r>
          </w:p>
        </w:tc>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工程进行中，按规划进行后期工作</w:t>
            </w:r>
          </w:p>
        </w:tc>
      </w:tr>
      <w:tr w:rsidR="000959AA">
        <w:trPr>
          <w:gridAfter w:val="2"/>
          <w:wAfter w:w="375" w:type="dxa"/>
          <w:trHeight w:val="1457"/>
        </w:trPr>
        <w:tc>
          <w:tcPr>
            <w:tcW w:w="9124" w:type="dxa"/>
            <w:gridSpan w:val="11"/>
            <w:tcBorders>
              <w:top w:val="nil"/>
              <w:left w:val="nil"/>
              <w:bottom w:val="nil"/>
              <w:right w:val="nil"/>
            </w:tcBorders>
            <w:shd w:val="clear" w:color="auto" w:fill="auto"/>
            <w:vAlign w:val="center"/>
          </w:tcPr>
          <w:p w:rsidR="000959AA" w:rsidRDefault="00953201">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lastRenderedPageBreak/>
              <w:t>附件3：</w:t>
            </w:r>
          </w:p>
          <w:p w:rsidR="000959AA" w:rsidRDefault="00953201">
            <w:pPr>
              <w:widowControl/>
              <w:adjustRightInd w:val="0"/>
              <w:snapToGrid w:val="0"/>
              <w:spacing w:line="580" w:lineRule="exact"/>
              <w:contextualSpacing/>
              <w:jc w:val="left"/>
              <w:rPr>
                <w:rFonts w:ascii="宋体" w:hAnsi="宋体" w:cs="宋体"/>
                <w:b/>
                <w:sz w:val="32"/>
                <w:szCs w:val="32"/>
              </w:rPr>
            </w:pPr>
            <w:r>
              <w:rPr>
                <w:rFonts w:ascii="宋体" w:hAnsi="宋体" w:cs="宋体" w:hint="eastAsia"/>
                <w:b/>
                <w:sz w:val="30"/>
                <w:szCs w:val="30"/>
              </w:rPr>
              <w:t>2021年100万元以上（含）特定目标类部门预算项目绩效目标自评</w:t>
            </w:r>
          </w:p>
        </w:tc>
        <w:tc>
          <w:tcPr>
            <w:tcW w:w="360" w:type="dxa"/>
            <w:tcBorders>
              <w:top w:val="nil"/>
              <w:left w:val="nil"/>
              <w:bottom w:val="nil"/>
              <w:right w:val="nil"/>
            </w:tcBorders>
            <w:shd w:val="clear" w:color="auto" w:fill="auto"/>
            <w:vAlign w:val="center"/>
          </w:tcPr>
          <w:p w:rsidR="000959AA" w:rsidRDefault="000959AA">
            <w:pPr>
              <w:widowControl/>
              <w:jc w:val="center"/>
              <w:textAlignment w:val="center"/>
              <w:rPr>
                <w:rFonts w:ascii="宋体" w:hAnsi="宋体" w:cs="宋体"/>
                <w:b/>
                <w:kern w:val="0"/>
                <w:sz w:val="32"/>
                <w:szCs w:val="32"/>
              </w:rPr>
            </w:pPr>
          </w:p>
        </w:tc>
      </w:tr>
      <w:tr w:rsidR="000959AA">
        <w:trPr>
          <w:gridAfter w:val="3"/>
          <w:wAfter w:w="360" w:type="dxa"/>
          <w:trHeight w:val="816"/>
        </w:trPr>
        <w:tc>
          <w:tcPr>
            <w:tcW w:w="29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主管部门及代码</w:t>
            </w:r>
          </w:p>
        </w:tc>
        <w:tc>
          <w:tcPr>
            <w:tcW w:w="27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textAlignment w:val="center"/>
              <w:rPr>
                <w:rFonts w:ascii="宋体" w:hAnsi="宋体" w:cs="宋体"/>
                <w:sz w:val="24"/>
              </w:rPr>
            </w:pPr>
            <w:r>
              <w:rPr>
                <w:rFonts w:ascii="宋体" w:hAnsi="宋体" w:cs="宋体" w:hint="eastAsia"/>
                <w:sz w:val="24"/>
              </w:rPr>
              <w:t>宜宾市</w:t>
            </w:r>
            <w:proofErr w:type="gramStart"/>
            <w:r>
              <w:rPr>
                <w:rFonts w:ascii="宋体" w:hAnsi="宋体" w:cs="宋体" w:hint="eastAsia"/>
                <w:sz w:val="24"/>
              </w:rPr>
              <w:t>卫健委</w:t>
            </w:r>
            <w:proofErr w:type="gramEnd"/>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实施单位</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sz w:val="24"/>
              </w:rPr>
              <w:t>宜宾市妇幼保健计划生育服务中心</w:t>
            </w:r>
          </w:p>
        </w:tc>
      </w:tr>
      <w:tr w:rsidR="000959AA">
        <w:trPr>
          <w:gridAfter w:val="3"/>
          <w:wAfter w:w="360" w:type="dxa"/>
          <w:trHeight w:val="464"/>
        </w:trPr>
        <w:tc>
          <w:tcPr>
            <w:tcW w:w="293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项目预算</w:t>
            </w:r>
            <w:r>
              <w:rPr>
                <w:rFonts w:ascii="宋体" w:hAnsi="宋体" w:cs="宋体" w:hint="eastAsia"/>
                <w:kern w:val="0"/>
                <w:sz w:val="24"/>
              </w:rPr>
              <w:br/>
              <w:t>执行情况</w:t>
            </w:r>
            <w:r>
              <w:rPr>
                <w:rFonts w:ascii="宋体" w:hAnsi="宋体" w:cs="宋体" w:hint="eastAsia"/>
                <w:kern w:val="0"/>
                <w:sz w:val="24"/>
              </w:rPr>
              <w:br/>
              <w:t>（万元）</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 xml:space="preserve"> 预算数：</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rPr>
              <w:t>43</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 xml:space="preserve"> 执行数：</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rPr>
              <w:t>43</w:t>
            </w:r>
          </w:p>
        </w:tc>
      </w:tr>
      <w:tr w:rsidR="000959AA">
        <w:trPr>
          <w:gridAfter w:val="3"/>
          <w:wAfter w:w="360" w:type="dxa"/>
          <w:trHeight w:val="849"/>
        </w:trPr>
        <w:tc>
          <w:tcPr>
            <w:tcW w:w="293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rPr>
              <w:t>43</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rPr>
              <w:t>43</w:t>
            </w:r>
          </w:p>
        </w:tc>
      </w:tr>
      <w:tr w:rsidR="000959AA">
        <w:trPr>
          <w:gridAfter w:val="3"/>
          <w:wAfter w:w="360" w:type="dxa"/>
          <w:trHeight w:val="464"/>
        </w:trPr>
        <w:tc>
          <w:tcPr>
            <w:tcW w:w="293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widowControl/>
              <w:spacing w:line="320" w:lineRule="exact"/>
              <w:jc w:val="left"/>
              <w:textAlignment w:val="center"/>
              <w:rPr>
                <w:rFonts w:ascii="宋体" w:hAnsi="宋体" w:cs="宋体"/>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widowControl/>
              <w:spacing w:line="320" w:lineRule="exact"/>
              <w:jc w:val="center"/>
              <w:textAlignment w:val="center"/>
              <w:rPr>
                <w:rFonts w:ascii="宋体" w:hAnsi="宋体" w:cs="宋体"/>
                <w:sz w:val="24"/>
              </w:rPr>
            </w:pPr>
          </w:p>
        </w:tc>
      </w:tr>
      <w:tr w:rsidR="000959AA">
        <w:trPr>
          <w:gridAfter w:val="3"/>
          <w:wAfter w:w="360" w:type="dxa"/>
          <w:trHeight w:val="437"/>
        </w:trPr>
        <w:tc>
          <w:tcPr>
            <w:tcW w:w="18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kern w:val="0"/>
                <w:sz w:val="24"/>
              </w:rPr>
            </w:pPr>
            <w:r>
              <w:rPr>
                <w:rFonts w:ascii="宋体" w:hAnsi="宋体" w:cs="宋体" w:hint="eastAsia"/>
                <w:kern w:val="0"/>
                <w:sz w:val="24"/>
              </w:rPr>
              <w:t>年度总体目标</w:t>
            </w:r>
          </w:p>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完成情况</w:t>
            </w:r>
          </w:p>
        </w:tc>
        <w:tc>
          <w:tcPr>
            <w:tcW w:w="38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预期目标</w:t>
            </w:r>
          </w:p>
        </w:tc>
        <w:tc>
          <w:tcPr>
            <w:tcW w:w="34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目标实际完成情况</w:t>
            </w:r>
          </w:p>
        </w:tc>
      </w:tr>
      <w:tr w:rsidR="000959AA">
        <w:trPr>
          <w:gridAfter w:val="3"/>
          <w:wAfter w:w="360" w:type="dxa"/>
          <w:trHeight w:val="1218"/>
        </w:trPr>
        <w:tc>
          <w:tcPr>
            <w:tcW w:w="1861"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3823" w:type="dxa"/>
            <w:gridSpan w:val="6"/>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lang w:val="zh-CN"/>
              </w:rPr>
              <w:t>对消防隐患进行整改，切实消除安全隐患，为全市妇女儿童生命安全提供安全保障</w:t>
            </w:r>
          </w:p>
        </w:tc>
        <w:tc>
          <w:tcPr>
            <w:tcW w:w="3440" w:type="dxa"/>
            <w:gridSpan w:val="4"/>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lang w:val="zh-CN"/>
              </w:rPr>
              <w:t>消防隐患已进行整改，已消除安全隐患，为全市妇女儿童生命安全提供安全保障</w:t>
            </w:r>
          </w:p>
        </w:tc>
      </w:tr>
      <w:tr w:rsidR="000959AA">
        <w:trPr>
          <w:gridAfter w:val="3"/>
          <w:wAfter w:w="360" w:type="dxa"/>
          <w:trHeight w:val="918"/>
        </w:trPr>
        <w:tc>
          <w:tcPr>
            <w:tcW w:w="1861" w:type="dxa"/>
            <w:vMerge w:val="restart"/>
            <w:tcBorders>
              <w:top w:val="single" w:sz="4" w:space="0" w:color="auto"/>
              <w:left w:val="single" w:sz="4" w:space="0" w:color="auto"/>
              <w:right w:val="single" w:sz="4" w:space="0" w:color="auto"/>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07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0959AA">
        <w:trPr>
          <w:gridAfter w:val="3"/>
          <w:wAfter w:w="360" w:type="dxa"/>
          <w:trHeight w:val="1218"/>
        </w:trPr>
        <w:tc>
          <w:tcPr>
            <w:tcW w:w="1861" w:type="dxa"/>
            <w:vMerge/>
            <w:tcBorders>
              <w:left w:val="single" w:sz="4" w:space="0" w:color="auto"/>
              <w:right w:val="single" w:sz="4" w:space="0" w:color="auto"/>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076" w:type="dxa"/>
            <w:gridSpan w:val="2"/>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数量指标</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消除住院部七楼火灾隐患</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消除住院部七楼火灾隐患</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完成</w:t>
            </w:r>
          </w:p>
        </w:tc>
      </w:tr>
      <w:tr w:rsidR="000959AA">
        <w:trPr>
          <w:gridAfter w:val="3"/>
          <w:wAfter w:w="360" w:type="dxa"/>
          <w:trHeight w:val="1218"/>
        </w:trPr>
        <w:tc>
          <w:tcPr>
            <w:tcW w:w="1861" w:type="dxa"/>
            <w:vMerge/>
            <w:tcBorders>
              <w:left w:val="single" w:sz="4" w:space="0" w:color="auto"/>
              <w:right w:val="single" w:sz="4" w:space="0" w:color="auto"/>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076" w:type="dxa"/>
            <w:gridSpan w:val="2"/>
            <w:vMerge/>
            <w:tcBorders>
              <w:top w:val="single" w:sz="4" w:space="0" w:color="000000"/>
              <w:left w:val="single" w:sz="4" w:space="0" w:color="auto"/>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数量指标</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增设楼梯间防火分隔措施</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增设楼梯间防火分隔措施</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完成</w:t>
            </w:r>
          </w:p>
        </w:tc>
      </w:tr>
      <w:tr w:rsidR="000959AA">
        <w:trPr>
          <w:gridAfter w:val="3"/>
          <w:wAfter w:w="360" w:type="dxa"/>
          <w:trHeight w:val="1620"/>
        </w:trPr>
        <w:tc>
          <w:tcPr>
            <w:tcW w:w="1861" w:type="dxa"/>
            <w:vMerge/>
            <w:tcBorders>
              <w:left w:val="single" w:sz="4" w:space="0" w:color="auto"/>
              <w:right w:val="single" w:sz="4" w:space="0" w:color="auto"/>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076" w:type="dxa"/>
            <w:gridSpan w:val="2"/>
            <w:vMerge/>
            <w:tcBorders>
              <w:top w:val="single" w:sz="4" w:space="0" w:color="000000"/>
              <w:left w:val="single" w:sz="4" w:space="0" w:color="auto"/>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数量指标</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增设疏散楼梯无防护隔离措施</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增设疏散楼梯无防护隔离措施</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bottom"/>
              <w:rPr>
                <w:rFonts w:ascii="仿宋_GB2312" w:eastAsia="仿宋_GB2312" w:hAnsi="仿宋_GB2312" w:cs="仿宋_GB2312"/>
                <w:sz w:val="28"/>
                <w:szCs w:val="28"/>
              </w:rPr>
            </w:pPr>
            <w:r>
              <w:rPr>
                <w:rFonts w:ascii="宋体" w:hAnsi="宋体" w:cs="宋体" w:hint="eastAsia"/>
                <w:kern w:val="0"/>
                <w:sz w:val="24"/>
                <w:lang w:val="zh-CN"/>
              </w:rPr>
              <w:t>完成</w:t>
            </w:r>
          </w:p>
        </w:tc>
      </w:tr>
      <w:tr w:rsidR="000959AA">
        <w:trPr>
          <w:gridAfter w:val="3"/>
          <w:wAfter w:w="360" w:type="dxa"/>
          <w:trHeight w:val="860"/>
        </w:trPr>
        <w:tc>
          <w:tcPr>
            <w:tcW w:w="1861" w:type="dxa"/>
            <w:vMerge/>
            <w:tcBorders>
              <w:left w:val="single" w:sz="4" w:space="0" w:color="auto"/>
              <w:right w:val="single" w:sz="4" w:space="0" w:color="auto"/>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076" w:type="dxa"/>
            <w:gridSpan w:val="2"/>
            <w:vMerge/>
            <w:tcBorders>
              <w:top w:val="single" w:sz="4" w:space="0" w:color="000000"/>
              <w:left w:val="single" w:sz="4" w:space="0" w:color="auto"/>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center"/>
              <w:rPr>
                <w:rFonts w:ascii="宋体" w:hAnsi="宋体" w:cs="宋体"/>
                <w:kern w:val="0"/>
                <w:sz w:val="24"/>
                <w:lang w:val="zh-CN"/>
              </w:rPr>
            </w:pPr>
            <w:r>
              <w:rPr>
                <w:rFonts w:ascii="宋体" w:hAnsi="宋体" w:cs="宋体" w:hint="eastAsia"/>
                <w:kern w:val="0"/>
                <w:sz w:val="24"/>
                <w:lang w:val="zh-CN"/>
              </w:rPr>
              <w:t>通过验收</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center"/>
              <w:rPr>
                <w:rFonts w:ascii="宋体" w:hAnsi="宋体" w:cs="宋体"/>
                <w:kern w:val="0"/>
                <w:sz w:val="24"/>
                <w:lang w:val="zh-CN"/>
              </w:rPr>
            </w:pPr>
            <w:r>
              <w:rPr>
                <w:rFonts w:ascii="宋体" w:hAnsi="宋体" w:cs="宋体" w:hint="eastAsia"/>
                <w:kern w:val="0"/>
                <w:sz w:val="24"/>
                <w:lang w:val="zh-CN"/>
              </w:rPr>
              <w:t>通过验收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通过验收</w:t>
            </w:r>
          </w:p>
        </w:tc>
      </w:tr>
      <w:tr w:rsidR="000959AA">
        <w:trPr>
          <w:gridAfter w:val="3"/>
          <w:wAfter w:w="360" w:type="dxa"/>
          <w:trHeight w:val="1088"/>
        </w:trPr>
        <w:tc>
          <w:tcPr>
            <w:tcW w:w="1861" w:type="dxa"/>
            <w:vMerge/>
            <w:tcBorders>
              <w:left w:val="single" w:sz="4" w:space="0" w:color="auto"/>
              <w:bottom w:val="single" w:sz="4" w:space="0" w:color="auto"/>
              <w:right w:val="single" w:sz="4" w:space="0" w:color="auto"/>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076"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rsidR="000959AA" w:rsidRDefault="00953201">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效益</w:t>
            </w:r>
            <w:r>
              <w:rPr>
                <w:rFonts w:ascii="仿宋_GB2312" w:eastAsia="仿宋_GB2312" w:hAnsi="仿宋_GB2312" w:cs="仿宋_GB2312" w:hint="eastAsia"/>
                <w:kern w:val="0"/>
                <w:sz w:val="28"/>
                <w:szCs w:val="28"/>
              </w:rPr>
              <w:br/>
              <w:t>指标</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  指标</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center"/>
              <w:rPr>
                <w:rFonts w:ascii="宋体" w:hAnsi="宋体" w:cs="宋体"/>
                <w:kern w:val="0"/>
                <w:sz w:val="24"/>
                <w:lang w:val="zh-CN"/>
              </w:rPr>
            </w:pPr>
            <w:r>
              <w:rPr>
                <w:rFonts w:ascii="宋体" w:hAnsi="宋体" w:cs="宋体" w:hint="eastAsia"/>
                <w:kern w:val="0"/>
                <w:sz w:val="24"/>
                <w:lang w:val="zh-CN"/>
              </w:rPr>
              <w:t>提升就医安全保障</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center"/>
              <w:rPr>
                <w:rFonts w:ascii="宋体" w:hAnsi="宋体" w:cs="宋体"/>
                <w:kern w:val="0"/>
                <w:sz w:val="24"/>
                <w:lang w:val="zh-CN"/>
              </w:rPr>
            </w:pPr>
            <w:r>
              <w:rPr>
                <w:rFonts w:ascii="宋体" w:hAnsi="宋体" w:cs="宋体" w:hint="eastAsia"/>
                <w:kern w:val="0"/>
                <w:sz w:val="24"/>
                <w:lang w:val="zh-CN"/>
              </w:rPr>
              <w:t>提升就医安全保障</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提升就医安全保障</w:t>
            </w:r>
          </w:p>
        </w:tc>
      </w:tr>
    </w:tbl>
    <w:p w:rsidR="000959AA" w:rsidRDefault="000959AA">
      <w:pPr>
        <w:pStyle w:val="a4"/>
        <w:spacing w:before="93"/>
        <w:rPr>
          <w:rFonts w:hAnsi="宋体" w:cs="宋体"/>
          <w:color w:val="000000"/>
          <w:sz w:val="32"/>
          <w:szCs w:val="32"/>
          <w:shd w:val="clear" w:color="auto" w:fill="FFFFFF"/>
        </w:rPr>
      </w:pPr>
    </w:p>
    <w:tbl>
      <w:tblPr>
        <w:tblpPr w:leftFromText="180" w:rightFromText="180" w:vertAnchor="text" w:horzAnchor="page" w:tblpX="1281" w:tblpY="660"/>
        <w:tblOverlap w:val="never"/>
        <w:tblW w:w="10170" w:type="dxa"/>
        <w:tblLayout w:type="fixed"/>
        <w:tblLook w:val="04A0" w:firstRow="1" w:lastRow="0" w:firstColumn="1" w:lastColumn="0" w:noHBand="0" w:noVBand="1"/>
      </w:tblPr>
      <w:tblGrid>
        <w:gridCol w:w="1985"/>
        <w:gridCol w:w="1148"/>
        <w:gridCol w:w="1431"/>
        <w:gridCol w:w="60"/>
        <w:gridCol w:w="1410"/>
        <w:gridCol w:w="135"/>
        <w:gridCol w:w="1410"/>
        <w:gridCol w:w="105"/>
        <w:gridCol w:w="1938"/>
        <w:gridCol w:w="237"/>
        <w:gridCol w:w="75"/>
        <w:gridCol w:w="236"/>
      </w:tblGrid>
      <w:tr w:rsidR="000959AA">
        <w:trPr>
          <w:trHeight w:val="692"/>
        </w:trPr>
        <w:tc>
          <w:tcPr>
            <w:tcW w:w="9934" w:type="dxa"/>
            <w:gridSpan w:val="11"/>
            <w:tcBorders>
              <w:top w:val="nil"/>
              <w:left w:val="nil"/>
              <w:bottom w:val="nil"/>
              <w:right w:val="nil"/>
            </w:tcBorders>
            <w:shd w:val="clear" w:color="auto" w:fill="auto"/>
            <w:vAlign w:val="center"/>
          </w:tcPr>
          <w:p w:rsidR="000959AA" w:rsidRDefault="00953201">
            <w:pPr>
              <w:pStyle w:val="a4"/>
              <w:spacing w:before="93"/>
              <w:rPr>
                <w:rFonts w:hAnsi="宋体" w:cs="宋体"/>
                <w:color w:val="000000"/>
                <w:sz w:val="32"/>
                <w:szCs w:val="32"/>
                <w:shd w:val="clear" w:color="auto" w:fill="FFFFFF"/>
              </w:rPr>
            </w:pPr>
            <w:r>
              <w:rPr>
                <w:rFonts w:hAnsi="宋体" w:cs="宋体" w:hint="eastAsia"/>
                <w:color w:val="000000"/>
                <w:sz w:val="32"/>
                <w:szCs w:val="32"/>
                <w:shd w:val="clear" w:color="auto" w:fill="FFFFFF"/>
              </w:rPr>
              <w:lastRenderedPageBreak/>
              <w:t>附件4：</w:t>
            </w:r>
          </w:p>
          <w:p w:rsidR="000959AA" w:rsidRDefault="00953201">
            <w:pPr>
              <w:widowControl/>
              <w:textAlignment w:val="center"/>
              <w:rPr>
                <w:rFonts w:ascii="宋体" w:hAnsi="宋体" w:cs="宋体"/>
                <w:b/>
                <w:sz w:val="32"/>
                <w:szCs w:val="32"/>
              </w:rPr>
            </w:pPr>
            <w:r>
              <w:rPr>
                <w:rFonts w:ascii="宋体" w:hAnsi="宋体" w:cs="宋体" w:hint="eastAsia"/>
                <w:b/>
                <w:sz w:val="32"/>
                <w:szCs w:val="32"/>
              </w:rPr>
              <w:t>2021年100万元以上（含）特定目标类部门预算项目绩效目标自评</w:t>
            </w:r>
          </w:p>
        </w:tc>
        <w:tc>
          <w:tcPr>
            <w:tcW w:w="236" w:type="dxa"/>
            <w:tcBorders>
              <w:top w:val="nil"/>
              <w:left w:val="nil"/>
              <w:bottom w:val="nil"/>
              <w:right w:val="nil"/>
            </w:tcBorders>
            <w:shd w:val="clear" w:color="auto" w:fill="auto"/>
            <w:vAlign w:val="center"/>
          </w:tcPr>
          <w:p w:rsidR="000959AA" w:rsidRDefault="000959AA">
            <w:pPr>
              <w:widowControl/>
              <w:jc w:val="center"/>
              <w:textAlignment w:val="center"/>
              <w:rPr>
                <w:rFonts w:ascii="宋体" w:hAnsi="宋体" w:cs="宋体"/>
                <w:b/>
                <w:kern w:val="0"/>
                <w:sz w:val="32"/>
                <w:szCs w:val="32"/>
              </w:rPr>
            </w:pPr>
          </w:p>
        </w:tc>
      </w:tr>
      <w:tr w:rsidR="000959AA">
        <w:trPr>
          <w:gridAfter w:val="1"/>
          <w:wAfter w:w="236" w:type="dxa"/>
          <w:trHeight w:val="338"/>
        </w:trPr>
        <w:tc>
          <w:tcPr>
            <w:tcW w:w="31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主管部门及代码</w:t>
            </w:r>
          </w:p>
        </w:tc>
        <w:tc>
          <w:tcPr>
            <w:tcW w:w="29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textAlignment w:val="center"/>
              <w:rPr>
                <w:rFonts w:ascii="宋体" w:hAnsi="宋体" w:cs="宋体"/>
                <w:sz w:val="24"/>
              </w:rPr>
            </w:pPr>
            <w:r>
              <w:rPr>
                <w:rFonts w:ascii="宋体" w:hAnsi="宋体" w:cs="宋体" w:hint="eastAsia"/>
                <w:sz w:val="24"/>
              </w:rPr>
              <w:t>宜宾市</w:t>
            </w:r>
            <w:proofErr w:type="gramStart"/>
            <w:r>
              <w:rPr>
                <w:rFonts w:ascii="宋体" w:hAnsi="宋体" w:cs="宋体" w:hint="eastAsia"/>
                <w:sz w:val="24"/>
              </w:rPr>
              <w:t>卫健委</w:t>
            </w:r>
            <w:proofErr w:type="gramEnd"/>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实施单位</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sz w:val="24"/>
              </w:rPr>
              <w:t>宜宾市妇幼保健计划生育服务中心</w:t>
            </w:r>
          </w:p>
        </w:tc>
      </w:tr>
      <w:tr w:rsidR="000959AA">
        <w:trPr>
          <w:gridAfter w:val="1"/>
          <w:wAfter w:w="236" w:type="dxa"/>
          <w:trHeight w:val="360"/>
        </w:trPr>
        <w:tc>
          <w:tcPr>
            <w:tcW w:w="31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项目预算</w:t>
            </w:r>
            <w:r>
              <w:rPr>
                <w:rFonts w:ascii="宋体" w:hAnsi="宋体" w:cs="宋体" w:hint="eastAsia"/>
                <w:kern w:val="0"/>
                <w:sz w:val="24"/>
              </w:rPr>
              <w:br/>
              <w:t>执行情况</w:t>
            </w:r>
            <w:r>
              <w:rPr>
                <w:rFonts w:ascii="宋体" w:hAnsi="宋体" w:cs="宋体" w:hint="eastAsia"/>
                <w:kern w:val="0"/>
                <w:sz w:val="24"/>
              </w:rPr>
              <w:br/>
              <w:t>（万元）</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 xml:space="preserve"> 预算数：</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lang w:val="zh-CN"/>
              </w:rPr>
              <w:t>197.59</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 xml:space="preserve"> 执行数：</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lang w:val="zh-CN"/>
              </w:rPr>
              <w:t>197.59</w:t>
            </w:r>
          </w:p>
        </w:tc>
      </w:tr>
      <w:tr w:rsidR="000959AA">
        <w:trPr>
          <w:gridAfter w:val="1"/>
          <w:wAfter w:w="236" w:type="dxa"/>
          <w:trHeight w:val="666"/>
        </w:trPr>
        <w:tc>
          <w:tcPr>
            <w:tcW w:w="313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lang w:val="zh-CN"/>
              </w:rPr>
              <w:t>197.59</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lang w:val="zh-CN"/>
              </w:rPr>
              <w:t>197.59</w:t>
            </w:r>
          </w:p>
        </w:tc>
      </w:tr>
      <w:tr w:rsidR="000959AA">
        <w:trPr>
          <w:gridAfter w:val="1"/>
          <w:wAfter w:w="236" w:type="dxa"/>
          <w:trHeight w:val="360"/>
        </w:trPr>
        <w:tc>
          <w:tcPr>
            <w:tcW w:w="313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widowControl/>
              <w:spacing w:line="320" w:lineRule="exact"/>
              <w:jc w:val="left"/>
              <w:textAlignment w:val="center"/>
              <w:rPr>
                <w:rFonts w:ascii="宋体" w:hAnsi="宋体" w:cs="宋体"/>
                <w:sz w:val="24"/>
              </w:rPr>
            </w:pP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widowControl/>
              <w:spacing w:line="320" w:lineRule="exact"/>
              <w:jc w:val="center"/>
              <w:textAlignment w:val="center"/>
              <w:rPr>
                <w:rFonts w:ascii="宋体" w:hAnsi="宋体" w:cs="宋体"/>
                <w:sz w:val="24"/>
              </w:rPr>
            </w:pPr>
          </w:p>
        </w:tc>
      </w:tr>
      <w:tr w:rsidR="000959AA">
        <w:trPr>
          <w:gridAfter w:val="1"/>
          <w:wAfter w:w="236" w:type="dxa"/>
          <w:trHeight w:val="338"/>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kern w:val="0"/>
                <w:sz w:val="24"/>
              </w:rPr>
            </w:pPr>
            <w:r>
              <w:rPr>
                <w:rFonts w:ascii="宋体" w:hAnsi="宋体" w:cs="宋体" w:hint="eastAsia"/>
                <w:kern w:val="0"/>
                <w:sz w:val="24"/>
              </w:rPr>
              <w:t>年度总体目标</w:t>
            </w:r>
          </w:p>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完成情况</w:t>
            </w:r>
          </w:p>
        </w:tc>
        <w:tc>
          <w:tcPr>
            <w:tcW w:w="40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预期目标</w:t>
            </w:r>
          </w:p>
        </w:tc>
        <w:tc>
          <w:tcPr>
            <w:tcW w:w="39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目标实际完成情况</w:t>
            </w:r>
          </w:p>
        </w:tc>
      </w:tr>
      <w:tr w:rsidR="000959AA">
        <w:trPr>
          <w:gridAfter w:val="1"/>
          <w:wAfter w:w="236" w:type="dxa"/>
          <w:trHeight w:val="828"/>
        </w:trPr>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4049" w:type="dxa"/>
            <w:gridSpan w:val="4"/>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jc w:val="left"/>
              <w:textAlignment w:val="center"/>
              <w:rPr>
                <w:rFonts w:ascii="宋体" w:hAnsi="宋体" w:cs="宋体"/>
                <w:kern w:val="0"/>
                <w:sz w:val="24"/>
              </w:rPr>
            </w:pPr>
            <w:r>
              <w:rPr>
                <w:rFonts w:ascii="宋体" w:hAnsi="宋体" w:cs="宋体" w:hint="eastAsia"/>
                <w:kern w:val="0"/>
                <w:sz w:val="24"/>
                <w:lang w:val="zh-CN"/>
              </w:rPr>
              <w:t>基本建立具有中国特色的权责清晰、管理科学、治理完善、运行高效、监督有力的现代医院管理制度，建立维护公益性、调动积极性、保障可持续的运行新机制和科学合理的补偿机制。</w:t>
            </w:r>
          </w:p>
        </w:tc>
        <w:tc>
          <w:tcPr>
            <w:tcW w:w="3900" w:type="dxa"/>
            <w:gridSpan w:val="6"/>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jc w:val="left"/>
              <w:textAlignment w:val="center"/>
              <w:rPr>
                <w:rFonts w:ascii="宋体" w:hAnsi="宋体" w:cs="宋体"/>
                <w:kern w:val="0"/>
                <w:sz w:val="24"/>
              </w:rPr>
            </w:pPr>
            <w:r>
              <w:rPr>
                <w:rFonts w:ascii="宋体" w:hAnsi="宋体" w:cs="宋体" w:hint="eastAsia"/>
                <w:kern w:val="0"/>
                <w:sz w:val="24"/>
                <w:lang w:val="zh-CN"/>
              </w:rPr>
              <w:t>逐步建立具有中国特色的权责清晰、管理科学、治理完善、运行高效、监督有力的现代医院管理制度，建立维护公益性、调动积极性、保障可持续的运行新机制和科学合理的补偿机制。</w:t>
            </w:r>
          </w:p>
        </w:tc>
      </w:tr>
      <w:tr w:rsidR="000959AA">
        <w:trPr>
          <w:gridAfter w:val="1"/>
          <w:wAfter w:w="236" w:type="dxa"/>
          <w:trHeight w:val="721"/>
        </w:trPr>
        <w:tc>
          <w:tcPr>
            <w:tcW w:w="1985" w:type="dxa"/>
            <w:vMerge w:val="restart"/>
            <w:tcBorders>
              <w:top w:val="single" w:sz="4" w:space="0" w:color="000000"/>
              <w:left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148" w:type="dxa"/>
            <w:tcBorders>
              <w:top w:val="single" w:sz="4" w:space="0" w:color="000000"/>
              <w:left w:val="nil"/>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0959AA">
        <w:trPr>
          <w:gridAfter w:val="1"/>
          <w:wAfter w:w="236" w:type="dxa"/>
          <w:trHeight w:val="436"/>
        </w:trPr>
        <w:tc>
          <w:tcPr>
            <w:tcW w:w="1985" w:type="dxa"/>
            <w:vMerge/>
            <w:tcBorders>
              <w:left w:val="single" w:sz="4" w:space="0" w:color="000000"/>
              <w:right w:val="single" w:sz="4" w:space="0" w:color="000000"/>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48" w:type="dxa"/>
            <w:vMerge w:val="restart"/>
            <w:tcBorders>
              <w:top w:val="single" w:sz="4" w:space="0" w:color="000000"/>
              <w:left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质量指标</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医疗服务收入（不含药品、耗材、检查检验收入）占医疗收入比例较上年提高</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医疗服务收入（不含药品、耗材、检查检验收入）占医疗收入比例较上年提高</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医疗服务收入（不含药品、耗材、检查检验收入）占医疗收入比例较上年有所提高，达到25%</w:t>
            </w:r>
          </w:p>
        </w:tc>
      </w:tr>
      <w:tr w:rsidR="000959AA">
        <w:trPr>
          <w:gridAfter w:val="1"/>
          <w:wAfter w:w="236" w:type="dxa"/>
          <w:trHeight w:val="90"/>
        </w:trPr>
        <w:tc>
          <w:tcPr>
            <w:tcW w:w="1985" w:type="dxa"/>
            <w:vMerge/>
            <w:tcBorders>
              <w:left w:val="single" w:sz="4" w:space="0" w:color="000000"/>
              <w:right w:val="single" w:sz="4" w:space="0" w:color="000000"/>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公立医院资产负债率较上年降低</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公立医院资产负债率较上年降低</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公立医院资产负债率</w:t>
            </w:r>
            <w:r>
              <w:rPr>
                <w:rFonts w:ascii="宋体" w:hAnsi="宋体" w:cs="宋体" w:hint="eastAsia"/>
                <w:kern w:val="0"/>
                <w:sz w:val="24"/>
                <w:lang w:val="zh-CN"/>
              </w:rPr>
              <w:tab/>
              <w:t>较上年降低到12.9%</w:t>
            </w:r>
          </w:p>
        </w:tc>
      </w:tr>
      <w:tr w:rsidR="000959AA">
        <w:trPr>
          <w:gridAfter w:val="1"/>
          <w:wAfter w:w="236" w:type="dxa"/>
          <w:trHeight w:val="502"/>
        </w:trPr>
        <w:tc>
          <w:tcPr>
            <w:tcW w:w="1985" w:type="dxa"/>
            <w:vMerge/>
            <w:tcBorders>
              <w:left w:val="single" w:sz="4" w:space="0" w:color="000000"/>
              <w:right w:val="single" w:sz="4" w:space="0" w:color="000000"/>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公立医院平均</w:t>
            </w:r>
            <w:proofErr w:type="gramStart"/>
            <w:r>
              <w:rPr>
                <w:rFonts w:ascii="宋体" w:hAnsi="宋体" w:cs="宋体" w:hint="eastAsia"/>
                <w:kern w:val="0"/>
                <w:sz w:val="24"/>
                <w:lang w:val="zh-CN"/>
              </w:rPr>
              <w:t>住院日较上年</w:t>
            </w:r>
            <w:proofErr w:type="gramEnd"/>
            <w:r>
              <w:rPr>
                <w:rFonts w:ascii="宋体" w:hAnsi="宋体" w:cs="宋体" w:hint="eastAsia"/>
                <w:kern w:val="0"/>
                <w:sz w:val="24"/>
                <w:lang w:val="zh-CN"/>
              </w:rPr>
              <w:t>降低或≤9.35天</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公立医院平均</w:t>
            </w:r>
            <w:proofErr w:type="gramStart"/>
            <w:r>
              <w:rPr>
                <w:rFonts w:ascii="宋体" w:hAnsi="宋体" w:cs="宋体" w:hint="eastAsia"/>
                <w:kern w:val="0"/>
                <w:sz w:val="24"/>
                <w:lang w:val="zh-CN"/>
              </w:rPr>
              <w:t>住院日较上年</w:t>
            </w:r>
            <w:proofErr w:type="gramEnd"/>
            <w:r>
              <w:rPr>
                <w:rFonts w:ascii="宋体" w:hAnsi="宋体" w:cs="宋体" w:hint="eastAsia"/>
                <w:kern w:val="0"/>
                <w:sz w:val="24"/>
                <w:lang w:val="zh-CN"/>
              </w:rPr>
              <w:t>降低或≤9.35天</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公立医院平均</w:t>
            </w:r>
            <w:proofErr w:type="gramStart"/>
            <w:r>
              <w:rPr>
                <w:rFonts w:ascii="宋体" w:hAnsi="宋体" w:cs="宋体" w:hint="eastAsia"/>
                <w:kern w:val="0"/>
                <w:sz w:val="24"/>
                <w:lang w:val="zh-CN"/>
              </w:rPr>
              <w:t>住院日较上年</w:t>
            </w:r>
            <w:proofErr w:type="gramEnd"/>
            <w:r>
              <w:rPr>
                <w:rFonts w:ascii="宋体" w:hAnsi="宋体" w:cs="宋体" w:hint="eastAsia"/>
                <w:kern w:val="0"/>
                <w:sz w:val="24"/>
                <w:lang w:val="zh-CN"/>
              </w:rPr>
              <w:t>降低到了5.96天</w:t>
            </w:r>
          </w:p>
        </w:tc>
      </w:tr>
      <w:tr w:rsidR="000959AA">
        <w:trPr>
          <w:gridAfter w:val="1"/>
          <w:wAfter w:w="236" w:type="dxa"/>
          <w:trHeight w:val="666"/>
        </w:trPr>
        <w:tc>
          <w:tcPr>
            <w:tcW w:w="1985" w:type="dxa"/>
            <w:vMerge/>
            <w:tcBorders>
              <w:left w:val="single" w:sz="4" w:space="0" w:color="000000"/>
              <w:right w:val="single" w:sz="4" w:space="0" w:color="000000"/>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  指标</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提升全市人民就医质量</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提升全市人民就医质量</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完成</w:t>
            </w:r>
          </w:p>
        </w:tc>
      </w:tr>
      <w:tr w:rsidR="000959AA">
        <w:trPr>
          <w:gridAfter w:val="1"/>
          <w:wAfter w:w="236" w:type="dxa"/>
          <w:trHeight w:val="677"/>
        </w:trPr>
        <w:tc>
          <w:tcPr>
            <w:tcW w:w="1985" w:type="dxa"/>
            <w:vMerge/>
            <w:tcBorders>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rPr>
              <w:t>满意</w:t>
            </w:r>
            <w:proofErr w:type="gramEnd"/>
            <w:r>
              <w:rPr>
                <w:rFonts w:ascii="仿宋_GB2312" w:eastAsia="仿宋_GB2312" w:hAnsi="仿宋_GB2312" w:cs="仿宋_GB2312" w:hint="eastAsia"/>
                <w:kern w:val="0"/>
                <w:sz w:val="28"/>
                <w:szCs w:val="28"/>
              </w:rPr>
              <w:br/>
              <w:t>度指标</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满意度</w:t>
            </w:r>
          </w:p>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公立医院门诊患者满意度≥89分</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公立医院门诊患者满意度≥89分</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完成</w:t>
            </w:r>
          </w:p>
        </w:tc>
      </w:tr>
      <w:tr w:rsidR="000959AA">
        <w:trPr>
          <w:gridAfter w:val="2"/>
          <w:wAfter w:w="311" w:type="dxa"/>
          <w:trHeight w:val="1273"/>
        </w:trPr>
        <w:tc>
          <w:tcPr>
            <w:tcW w:w="9622" w:type="dxa"/>
            <w:gridSpan w:val="9"/>
            <w:tcBorders>
              <w:top w:val="nil"/>
              <w:left w:val="nil"/>
              <w:bottom w:val="nil"/>
              <w:right w:val="nil"/>
            </w:tcBorders>
            <w:shd w:val="clear" w:color="auto" w:fill="auto"/>
            <w:vAlign w:val="center"/>
          </w:tcPr>
          <w:p w:rsidR="000959AA" w:rsidRDefault="00953201">
            <w:pPr>
              <w:widowControl/>
              <w:textAlignment w:val="center"/>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lastRenderedPageBreak/>
              <w:t>附5：</w:t>
            </w:r>
          </w:p>
          <w:p w:rsidR="000959AA" w:rsidRDefault="00953201">
            <w:pPr>
              <w:widowControl/>
              <w:textAlignment w:val="center"/>
              <w:rPr>
                <w:rFonts w:ascii="宋体" w:hAnsi="宋体" w:cs="宋体"/>
                <w:b/>
                <w:sz w:val="32"/>
                <w:szCs w:val="32"/>
              </w:rPr>
            </w:pPr>
            <w:r>
              <w:rPr>
                <w:rFonts w:ascii="宋体" w:hAnsi="宋体" w:cs="宋体" w:hint="eastAsia"/>
                <w:b/>
                <w:sz w:val="32"/>
                <w:szCs w:val="32"/>
              </w:rPr>
              <w:t>2021年100万元以上（含）特定目标类部门预算项目绩效目标自评</w:t>
            </w:r>
          </w:p>
        </w:tc>
        <w:tc>
          <w:tcPr>
            <w:tcW w:w="237" w:type="dxa"/>
            <w:tcBorders>
              <w:top w:val="nil"/>
              <w:left w:val="nil"/>
              <w:bottom w:val="nil"/>
              <w:right w:val="nil"/>
            </w:tcBorders>
            <w:shd w:val="clear" w:color="auto" w:fill="auto"/>
            <w:vAlign w:val="center"/>
          </w:tcPr>
          <w:p w:rsidR="000959AA" w:rsidRDefault="000959AA">
            <w:pPr>
              <w:widowControl/>
              <w:jc w:val="center"/>
              <w:textAlignment w:val="center"/>
              <w:rPr>
                <w:rFonts w:ascii="宋体" w:hAnsi="宋体" w:cs="宋体"/>
                <w:b/>
                <w:kern w:val="0"/>
                <w:sz w:val="32"/>
                <w:szCs w:val="32"/>
              </w:rPr>
            </w:pPr>
          </w:p>
        </w:tc>
      </w:tr>
      <w:tr w:rsidR="000959AA">
        <w:trPr>
          <w:gridAfter w:val="3"/>
          <w:wAfter w:w="237" w:type="dxa"/>
          <w:trHeight w:val="338"/>
        </w:trPr>
        <w:tc>
          <w:tcPr>
            <w:tcW w:w="31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主管部门及代码</w:t>
            </w:r>
          </w:p>
        </w:tc>
        <w:tc>
          <w:tcPr>
            <w:tcW w:w="30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textAlignment w:val="center"/>
              <w:rPr>
                <w:rFonts w:ascii="宋体" w:hAnsi="宋体" w:cs="宋体"/>
                <w:sz w:val="24"/>
              </w:rPr>
            </w:pPr>
            <w:r>
              <w:rPr>
                <w:rFonts w:ascii="宋体" w:hAnsi="宋体" w:cs="宋体" w:hint="eastAsia"/>
                <w:sz w:val="24"/>
              </w:rPr>
              <w:t>宜宾市</w:t>
            </w:r>
            <w:proofErr w:type="gramStart"/>
            <w:r>
              <w:rPr>
                <w:rFonts w:ascii="宋体" w:hAnsi="宋体" w:cs="宋体" w:hint="eastAsia"/>
                <w:sz w:val="24"/>
              </w:rPr>
              <w:t>卫健委</w:t>
            </w:r>
            <w:proofErr w:type="gramEnd"/>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实施单位</w:t>
            </w:r>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sz w:val="24"/>
              </w:rPr>
              <w:t>宜宾市妇幼保健计划生育服务中心</w:t>
            </w:r>
          </w:p>
        </w:tc>
      </w:tr>
      <w:tr w:rsidR="000959AA">
        <w:trPr>
          <w:gridAfter w:val="3"/>
          <w:wAfter w:w="237" w:type="dxa"/>
          <w:trHeight w:val="360"/>
        </w:trPr>
        <w:tc>
          <w:tcPr>
            <w:tcW w:w="31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项目预算</w:t>
            </w:r>
            <w:r>
              <w:rPr>
                <w:rFonts w:ascii="宋体" w:hAnsi="宋体" w:cs="宋体" w:hint="eastAsia"/>
                <w:kern w:val="0"/>
                <w:sz w:val="24"/>
              </w:rPr>
              <w:br/>
              <w:t>执行情况</w:t>
            </w:r>
            <w:r>
              <w:rPr>
                <w:rFonts w:ascii="宋体" w:hAnsi="宋体" w:cs="宋体" w:hint="eastAsia"/>
                <w:kern w:val="0"/>
                <w:sz w:val="24"/>
              </w:rPr>
              <w:br/>
              <w:t>（万元）</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 xml:space="preserve"> 预算数：</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sz w:val="24"/>
              </w:rPr>
              <w:t>87.99</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 xml:space="preserve"> 执行数：</w:t>
            </w:r>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rPr>
              <w:t>87.99</w:t>
            </w:r>
          </w:p>
        </w:tc>
      </w:tr>
      <w:tr w:rsidR="000959AA">
        <w:trPr>
          <w:gridAfter w:val="3"/>
          <w:wAfter w:w="237" w:type="dxa"/>
          <w:trHeight w:val="666"/>
        </w:trPr>
        <w:tc>
          <w:tcPr>
            <w:tcW w:w="313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sz w:val="24"/>
              </w:rPr>
              <w:t>87.99</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rPr>
              <w:t>87.99</w:t>
            </w:r>
          </w:p>
        </w:tc>
      </w:tr>
      <w:tr w:rsidR="000959AA">
        <w:trPr>
          <w:gridAfter w:val="3"/>
          <w:wAfter w:w="237" w:type="dxa"/>
          <w:trHeight w:val="360"/>
        </w:trPr>
        <w:tc>
          <w:tcPr>
            <w:tcW w:w="313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widowControl/>
              <w:spacing w:line="320" w:lineRule="exact"/>
              <w:jc w:val="left"/>
              <w:textAlignment w:val="center"/>
              <w:rPr>
                <w:rFonts w:ascii="宋体" w:hAnsi="宋体" w:cs="宋体"/>
                <w:sz w:val="24"/>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widowControl/>
              <w:spacing w:line="320" w:lineRule="exact"/>
              <w:jc w:val="center"/>
              <w:textAlignment w:val="center"/>
              <w:rPr>
                <w:rFonts w:ascii="宋体" w:hAnsi="宋体" w:cs="宋体"/>
                <w:sz w:val="24"/>
              </w:rPr>
            </w:pPr>
          </w:p>
        </w:tc>
      </w:tr>
      <w:tr w:rsidR="000959AA">
        <w:trPr>
          <w:gridAfter w:val="3"/>
          <w:wAfter w:w="237" w:type="dxa"/>
          <w:trHeight w:val="338"/>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kern w:val="0"/>
                <w:sz w:val="24"/>
              </w:rPr>
            </w:pPr>
            <w:r>
              <w:rPr>
                <w:rFonts w:ascii="宋体" w:hAnsi="宋体" w:cs="宋体" w:hint="eastAsia"/>
                <w:kern w:val="0"/>
                <w:sz w:val="24"/>
              </w:rPr>
              <w:t>年度总体目标</w:t>
            </w:r>
          </w:p>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完成情况</w:t>
            </w:r>
          </w:p>
        </w:tc>
        <w:tc>
          <w:tcPr>
            <w:tcW w:w="41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预期目标</w:t>
            </w:r>
          </w:p>
        </w:tc>
        <w:tc>
          <w:tcPr>
            <w:tcW w:w="34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目标实际完成情况</w:t>
            </w:r>
          </w:p>
        </w:tc>
      </w:tr>
      <w:tr w:rsidR="000959AA">
        <w:trPr>
          <w:gridAfter w:val="3"/>
          <w:wAfter w:w="237" w:type="dxa"/>
          <w:trHeight w:val="2205"/>
        </w:trPr>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4184" w:type="dxa"/>
            <w:gridSpan w:val="5"/>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jc w:val="left"/>
              <w:textAlignment w:val="center"/>
              <w:rPr>
                <w:rFonts w:ascii="宋体" w:hAnsi="宋体" w:cs="宋体"/>
                <w:kern w:val="0"/>
                <w:sz w:val="24"/>
              </w:rPr>
            </w:pPr>
            <w:r>
              <w:rPr>
                <w:rFonts w:ascii="宋体" w:hAnsi="宋体" w:cs="宋体" w:hint="eastAsia"/>
                <w:kern w:val="0"/>
                <w:sz w:val="24"/>
                <w:lang w:val="zh-CN"/>
              </w:rPr>
              <w:t>根据川</w:t>
            </w:r>
            <w:proofErr w:type="gramStart"/>
            <w:r>
              <w:rPr>
                <w:rFonts w:ascii="宋体" w:hAnsi="宋体" w:cs="宋体" w:hint="eastAsia"/>
                <w:kern w:val="0"/>
                <w:sz w:val="24"/>
                <w:lang w:val="zh-CN"/>
              </w:rPr>
              <w:t>疫指办法</w:t>
            </w:r>
            <w:proofErr w:type="gramEnd"/>
            <w:r>
              <w:rPr>
                <w:rFonts w:ascii="宋体" w:hAnsi="宋体" w:cs="宋体" w:hint="eastAsia"/>
                <w:kern w:val="0"/>
                <w:sz w:val="24"/>
                <w:lang w:val="zh-CN"/>
              </w:rPr>
              <w:t>〔2020〕29号规定“应检尽检”范围，中心共采集并送检“应检尽检”人数8400人次，其中发热门诊患者 1109 人次，住院患者及陪护人员4693人次，本中心工作人员2598人次。</w:t>
            </w:r>
          </w:p>
        </w:tc>
        <w:tc>
          <w:tcPr>
            <w:tcW w:w="3453" w:type="dxa"/>
            <w:gridSpan w:val="3"/>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jc w:val="left"/>
              <w:textAlignment w:val="center"/>
              <w:rPr>
                <w:rFonts w:ascii="宋体" w:hAnsi="宋体" w:cs="宋体"/>
                <w:kern w:val="0"/>
                <w:sz w:val="24"/>
              </w:rPr>
            </w:pPr>
            <w:r>
              <w:rPr>
                <w:rFonts w:ascii="宋体" w:hAnsi="宋体" w:cs="宋体" w:hint="eastAsia"/>
                <w:kern w:val="0"/>
                <w:sz w:val="24"/>
                <w:lang w:val="zh-CN"/>
              </w:rPr>
              <w:t>根据川</w:t>
            </w:r>
            <w:proofErr w:type="gramStart"/>
            <w:r>
              <w:rPr>
                <w:rFonts w:ascii="宋体" w:hAnsi="宋体" w:cs="宋体" w:hint="eastAsia"/>
                <w:kern w:val="0"/>
                <w:sz w:val="24"/>
                <w:lang w:val="zh-CN"/>
              </w:rPr>
              <w:t>疫指办法</w:t>
            </w:r>
            <w:proofErr w:type="gramEnd"/>
            <w:r>
              <w:rPr>
                <w:rFonts w:ascii="宋体" w:hAnsi="宋体" w:cs="宋体" w:hint="eastAsia"/>
                <w:kern w:val="0"/>
                <w:sz w:val="24"/>
                <w:lang w:val="zh-CN"/>
              </w:rPr>
              <w:t>〔2020〕29号规定“应检尽检”范围，中心共采集并送检“应检尽检”人数8400人次，其中发热门诊患者 1109 人次，住院患者及陪护人员4693人次，本中心工作人员2598人次。</w:t>
            </w:r>
          </w:p>
        </w:tc>
      </w:tr>
      <w:tr w:rsidR="000959AA">
        <w:trPr>
          <w:gridAfter w:val="3"/>
          <w:wAfter w:w="237" w:type="dxa"/>
          <w:trHeight w:val="721"/>
        </w:trPr>
        <w:tc>
          <w:tcPr>
            <w:tcW w:w="1985" w:type="dxa"/>
            <w:vMerge w:val="restart"/>
            <w:tcBorders>
              <w:top w:val="single" w:sz="4" w:space="0" w:color="000000"/>
              <w:left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148" w:type="dxa"/>
            <w:tcBorders>
              <w:top w:val="single" w:sz="4" w:space="0" w:color="000000"/>
              <w:left w:val="nil"/>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0959AA">
        <w:trPr>
          <w:gridAfter w:val="3"/>
          <w:wAfter w:w="237" w:type="dxa"/>
          <w:trHeight w:val="840"/>
        </w:trPr>
        <w:tc>
          <w:tcPr>
            <w:tcW w:w="1985" w:type="dxa"/>
            <w:vMerge/>
            <w:tcBorders>
              <w:left w:val="single" w:sz="4" w:space="0" w:color="000000"/>
              <w:right w:val="single" w:sz="4" w:space="0" w:color="000000"/>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数量指标</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全面完成就诊患者核酸 “应检尽检”工作</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全面完成就诊患者核酸 “应检尽检”工作</w:t>
            </w:r>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w:t>
            </w:r>
          </w:p>
        </w:tc>
      </w:tr>
      <w:tr w:rsidR="000959AA">
        <w:trPr>
          <w:gridAfter w:val="3"/>
          <w:wAfter w:w="237" w:type="dxa"/>
          <w:trHeight w:val="436"/>
        </w:trPr>
        <w:tc>
          <w:tcPr>
            <w:tcW w:w="1985" w:type="dxa"/>
            <w:vMerge/>
            <w:tcBorders>
              <w:left w:val="single" w:sz="4" w:space="0" w:color="000000"/>
              <w:right w:val="single" w:sz="4" w:space="0" w:color="000000"/>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数量指标</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职工“应检尽检”全覆盖</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职工“应检尽检”全覆盖</w:t>
            </w:r>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完成</w:t>
            </w:r>
          </w:p>
        </w:tc>
      </w:tr>
      <w:tr w:rsidR="000959AA">
        <w:trPr>
          <w:gridAfter w:val="3"/>
          <w:wAfter w:w="237" w:type="dxa"/>
          <w:trHeight w:val="436"/>
        </w:trPr>
        <w:tc>
          <w:tcPr>
            <w:tcW w:w="1985" w:type="dxa"/>
            <w:vMerge/>
            <w:tcBorders>
              <w:left w:val="single" w:sz="4" w:space="0" w:color="000000"/>
              <w:right w:val="single" w:sz="4" w:space="0" w:color="000000"/>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时效指标</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jc w:val="center"/>
              <w:textAlignment w:val="bottom"/>
              <w:rPr>
                <w:rFonts w:ascii="仿宋_GB2312" w:eastAsia="仿宋_GB2312" w:hAnsi="仿宋_GB2312" w:cs="仿宋_GB2312"/>
                <w:sz w:val="28"/>
                <w:szCs w:val="28"/>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jc w:val="center"/>
              <w:textAlignment w:val="bottom"/>
              <w:rPr>
                <w:rFonts w:ascii="仿宋_GB2312" w:eastAsia="仿宋_GB2312" w:hAnsi="仿宋_GB2312" w:cs="仿宋_GB2312"/>
                <w:sz w:val="28"/>
                <w:szCs w:val="28"/>
              </w:rPr>
            </w:pPr>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jc w:val="center"/>
              <w:textAlignment w:val="bottom"/>
              <w:rPr>
                <w:rFonts w:ascii="仿宋_GB2312" w:eastAsia="仿宋_GB2312" w:hAnsi="仿宋_GB2312" w:cs="仿宋_GB2312"/>
                <w:sz w:val="28"/>
                <w:szCs w:val="28"/>
              </w:rPr>
            </w:pPr>
          </w:p>
        </w:tc>
      </w:tr>
      <w:tr w:rsidR="000959AA">
        <w:trPr>
          <w:gridAfter w:val="3"/>
          <w:wAfter w:w="237" w:type="dxa"/>
          <w:trHeight w:val="502"/>
        </w:trPr>
        <w:tc>
          <w:tcPr>
            <w:tcW w:w="1985" w:type="dxa"/>
            <w:vMerge/>
            <w:tcBorders>
              <w:left w:val="single" w:sz="4" w:space="0" w:color="000000"/>
              <w:right w:val="single" w:sz="4" w:space="0" w:color="000000"/>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成本指标</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jc w:val="center"/>
              <w:textAlignment w:val="bottom"/>
              <w:rPr>
                <w:rFonts w:ascii="仿宋_GB2312" w:eastAsia="仿宋_GB2312" w:hAnsi="仿宋_GB2312" w:cs="仿宋_GB2312"/>
                <w:sz w:val="28"/>
                <w:szCs w:val="28"/>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jc w:val="center"/>
              <w:textAlignment w:val="bottom"/>
              <w:rPr>
                <w:rFonts w:ascii="仿宋_GB2312" w:eastAsia="仿宋_GB2312" w:hAnsi="仿宋_GB2312" w:cs="仿宋_GB2312"/>
                <w:sz w:val="28"/>
                <w:szCs w:val="28"/>
              </w:rPr>
            </w:pPr>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jc w:val="center"/>
              <w:textAlignment w:val="bottom"/>
              <w:rPr>
                <w:rFonts w:ascii="仿宋_GB2312" w:eastAsia="仿宋_GB2312" w:hAnsi="仿宋_GB2312" w:cs="仿宋_GB2312"/>
                <w:sz w:val="28"/>
                <w:szCs w:val="28"/>
              </w:rPr>
            </w:pPr>
          </w:p>
        </w:tc>
      </w:tr>
      <w:tr w:rsidR="000959AA">
        <w:trPr>
          <w:gridAfter w:val="3"/>
          <w:wAfter w:w="237" w:type="dxa"/>
          <w:trHeight w:val="666"/>
        </w:trPr>
        <w:tc>
          <w:tcPr>
            <w:tcW w:w="1985" w:type="dxa"/>
            <w:vMerge/>
            <w:tcBorders>
              <w:left w:val="single" w:sz="4" w:space="0" w:color="000000"/>
              <w:right w:val="single" w:sz="4" w:space="0" w:color="000000"/>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效益</w:t>
            </w:r>
            <w:r>
              <w:rPr>
                <w:rFonts w:ascii="仿宋_GB2312" w:eastAsia="仿宋_GB2312" w:hAnsi="仿宋_GB2312" w:cs="仿宋_GB2312" w:hint="eastAsia"/>
                <w:kern w:val="0"/>
                <w:sz w:val="28"/>
                <w:szCs w:val="28"/>
              </w:rPr>
              <w:br/>
              <w:t>指标</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经济效益  指标</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jc w:val="center"/>
              <w:textAlignment w:val="bottom"/>
              <w:rPr>
                <w:rFonts w:ascii="仿宋_GB2312" w:eastAsia="仿宋_GB2312" w:hAnsi="仿宋_GB2312" w:cs="仿宋_GB2312"/>
                <w:sz w:val="28"/>
                <w:szCs w:val="28"/>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jc w:val="center"/>
              <w:textAlignment w:val="bottom"/>
              <w:rPr>
                <w:rFonts w:ascii="仿宋_GB2312" w:eastAsia="仿宋_GB2312" w:hAnsi="仿宋_GB2312" w:cs="仿宋_GB2312"/>
                <w:sz w:val="28"/>
                <w:szCs w:val="28"/>
              </w:rPr>
            </w:pPr>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jc w:val="center"/>
              <w:textAlignment w:val="bottom"/>
              <w:rPr>
                <w:rFonts w:ascii="仿宋_GB2312" w:eastAsia="仿宋_GB2312" w:hAnsi="仿宋_GB2312" w:cs="仿宋_GB2312"/>
                <w:sz w:val="28"/>
                <w:szCs w:val="28"/>
              </w:rPr>
            </w:pPr>
          </w:p>
        </w:tc>
      </w:tr>
      <w:tr w:rsidR="000959AA">
        <w:trPr>
          <w:gridAfter w:val="3"/>
          <w:wAfter w:w="237" w:type="dxa"/>
          <w:trHeight w:val="666"/>
        </w:trPr>
        <w:tc>
          <w:tcPr>
            <w:tcW w:w="1985" w:type="dxa"/>
            <w:vMerge/>
            <w:tcBorders>
              <w:left w:val="single" w:sz="4" w:space="0" w:color="000000"/>
              <w:right w:val="single" w:sz="4" w:space="0" w:color="000000"/>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  指标</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textAlignment w:val="bottom"/>
              <w:rPr>
                <w:rFonts w:ascii="仿宋_GB2312" w:eastAsia="仿宋_GB2312" w:hAnsi="仿宋_GB2312" w:cs="仿宋_GB2312"/>
                <w:sz w:val="28"/>
                <w:szCs w:val="28"/>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textAlignment w:val="bottom"/>
              <w:rPr>
                <w:rFonts w:ascii="仿宋_GB2312" w:eastAsia="仿宋_GB2312" w:hAnsi="仿宋_GB2312" w:cs="仿宋_GB2312"/>
                <w:sz w:val="28"/>
                <w:szCs w:val="28"/>
              </w:rPr>
            </w:pPr>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jc w:val="center"/>
              <w:textAlignment w:val="bottom"/>
              <w:rPr>
                <w:rFonts w:ascii="仿宋_GB2312" w:eastAsia="仿宋_GB2312" w:hAnsi="仿宋_GB2312" w:cs="仿宋_GB2312"/>
                <w:sz w:val="28"/>
                <w:szCs w:val="28"/>
              </w:rPr>
            </w:pPr>
          </w:p>
        </w:tc>
      </w:tr>
      <w:tr w:rsidR="000959AA">
        <w:trPr>
          <w:gridAfter w:val="3"/>
          <w:wAfter w:w="237" w:type="dxa"/>
          <w:trHeight w:val="677"/>
        </w:trPr>
        <w:tc>
          <w:tcPr>
            <w:tcW w:w="1985" w:type="dxa"/>
            <w:vMerge/>
            <w:tcBorders>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rPr>
              <w:t>满意</w:t>
            </w:r>
            <w:proofErr w:type="gramEnd"/>
            <w:r>
              <w:rPr>
                <w:rFonts w:ascii="仿宋_GB2312" w:eastAsia="仿宋_GB2312" w:hAnsi="仿宋_GB2312" w:cs="仿宋_GB2312" w:hint="eastAsia"/>
                <w:kern w:val="0"/>
                <w:sz w:val="28"/>
                <w:szCs w:val="28"/>
              </w:rPr>
              <w:br/>
              <w:t>度指标</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满意度</w:t>
            </w:r>
          </w:p>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患者职工满意</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患者职工满意</w:t>
            </w:r>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center"/>
              <w:rPr>
                <w:rFonts w:ascii="宋体" w:hAnsi="宋体" w:cs="宋体"/>
                <w:kern w:val="0"/>
                <w:sz w:val="24"/>
                <w:lang w:val="zh-CN"/>
              </w:rPr>
            </w:pPr>
            <w:r>
              <w:rPr>
                <w:rFonts w:ascii="宋体" w:hAnsi="宋体" w:cs="宋体" w:hint="eastAsia"/>
                <w:kern w:val="0"/>
                <w:sz w:val="24"/>
                <w:lang w:val="zh-CN"/>
              </w:rPr>
              <w:t>完成</w:t>
            </w:r>
          </w:p>
        </w:tc>
      </w:tr>
    </w:tbl>
    <w:p w:rsidR="000959AA" w:rsidRDefault="000959AA">
      <w:pPr>
        <w:pStyle w:val="a4"/>
        <w:spacing w:before="93"/>
        <w:rPr>
          <w:rFonts w:ascii="黑体" w:eastAsia="黑体" w:hAnsi="黑体"/>
          <w:sz w:val="44"/>
          <w:szCs w:val="44"/>
        </w:rPr>
      </w:pPr>
    </w:p>
    <w:tbl>
      <w:tblPr>
        <w:tblpPr w:leftFromText="180" w:rightFromText="180" w:vertAnchor="text" w:horzAnchor="page" w:tblpX="1281" w:tblpY="660"/>
        <w:tblOverlap w:val="never"/>
        <w:tblW w:w="9859" w:type="dxa"/>
        <w:tblLayout w:type="fixed"/>
        <w:tblLook w:val="04A0" w:firstRow="1" w:lastRow="0" w:firstColumn="1" w:lastColumn="0" w:noHBand="0" w:noVBand="1"/>
      </w:tblPr>
      <w:tblGrid>
        <w:gridCol w:w="1819"/>
        <w:gridCol w:w="1314"/>
        <w:gridCol w:w="1491"/>
        <w:gridCol w:w="1410"/>
        <w:gridCol w:w="1350"/>
        <w:gridCol w:w="2238"/>
        <w:gridCol w:w="237"/>
      </w:tblGrid>
      <w:tr w:rsidR="000959AA">
        <w:trPr>
          <w:trHeight w:val="692"/>
        </w:trPr>
        <w:tc>
          <w:tcPr>
            <w:tcW w:w="9622" w:type="dxa"/>
            <w:gridSpan w:val="6"/>
            <w:tcBorders>
              <w:top w:val="nil"/>
              <w:left w:val="nil"/>
              <w:bottom w:val="nil"/>
              <w:right w:val="nil"/>
            </w:tcBorders>
            <w:shd w:val="clear" w:color="auto" w:fill="auto"/>
            <w:vAlign w:val="center"/>
          </w:tcPr>
          <w:p w:rsidR="000959AA" w:rsidRDefault="00953201">
            <w:pPr>
              <w:widowControl/>
              <w:textAlignment w:val="center"/>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lastRenderedPageBreak/>
              <w:t>附6：</w:t>
            </w:r>
          </w:p>
          <w:p w:rsidR="000959AA" w:rsidRDefault="00953201">
            <w:pPr>
              <w:widowControl/>
              <w:textAlignment w:val="center"/>
              <w:rPr>
                <w:rFonts w:ascii="宋体" w:hAnsi="宋体" w:cs="宋体"/>
                <w:b/>
                <w:sz w:val="32"/>
                <w:szCs w:val="32"/>
              </w:rPr>
            </w:pPr>
            <w:r>
              <w:rPr>
                <w:rFonts w:ascii="宋体" w:hAnsi="宋体" w:cs="宋体" w:hint="eastAsia"/>
                <w:b/>
                <w:sz w:val="32"/>
                <w:szCs w:val="32"/>
              </w:rPr>
              <w:t>2021年100万元以上（含）特定目标类部门预算项目绩效目标自评</w:t>
            </w:r>
          </w:p>
        </w:tc>
        <w:tc>
          <w:tcPr>
            <w:tcW w:w="237" w:type="dxa"/>
            <w:tcBorders>
              <w:top w:val="nil"/>
              <w:left w:val="nil"/>
              <w:bottom w:val="nil"/>
              <w:right w:val="nil"/>
            </w:tcBorders>
            <w:shd w:val="clear" w:color="auto" w:fill="auto"/>
            <w:vAlign w:val="center"/>
          </w:tcPr>
          <w:p w:rsidR="000959AA" w:rsidRDefault="000959AA">
            <w:pPr>
              <w:widowControl/>
              <w:jc w:val="center"/>
              <w:textAlignment w:val="center"/>
              <w:rPr>
                <w:rFonts w:ascii="宋体" w:hAnsi="宋体" w:cs="宋体"/>
                <w:b/>
                <w:kern w:val="0"/>
                <w:sz w:val="32"/>
                <w:szCs w:val="32"/>
              </w:rPr>
            </w:pPr>
          </w:p>
        </w:tc>
      </w:tr>
      <w:tr w:rsidR="000959AA">
        <w:trPr>
          <w:gridAfter w:val="1"/>
          <w:wAfter w:w="237" w:type="dxa"/>
          <w:trHeight w:val="338"/>
        </w:trPr>
        <w:tc>
          <w:tcPr>
            <w:tcW w:w="31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主管部门及代码</w:t>
            </w:r>
          </w:p>
        </w:tc>
        <w:tc>
          <w:tcPr>
            <w:tcW w:w="29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textAlignment w:val="center"/>
              <w:rPr>
                <w:rFonts w:ascii="宋体" w:hAnsi="宋体" w:cs="宋体"/>
                <w:sz w:val="24"/>
              </w:rPr>
            </w:pPr>
            <w:r>
              <w:rPr>
                <w:rFonts w:ascii="宋体" w:hAnsi="宋体" w:cs="宋体" w:hint="eastAsia"/>
                <w:sz w:val="24"/>
              </w:rPr>
              <w:t>宜宾市</w:t>
            </w:r>
            <w:proofErr w:type="gramStart"/>
            <w:r>
              <w:rPr>
                <w:rFonts w:ascii="宋体" w:hAnsi="宋体" w:cs="宋体" w:hint="eastAsia"/>
                <w:sz w:val="24"/>
              </w:rPr>
              <w:t>卫健委</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实施单位</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sz w:val="24"/>
              </w:rPr>
              <w:t>宜宾市妇幼保健计划生育服务中心</w:t>
            </w:r>
          </w:p>
        </w:tc>
      </w:tr>
      <w:tr w:rsidR="000959AA">
        <w:trPr>
          <w:gridAfter w:val="1"/>
          <w:wAfter w:w="237" w:type="dxa"/>
          <w:trHeight w:val="360"/>
        </w:trPr>
        <w:tc>
          <w:tcPr>
            <w:tcW w:w="31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项目预算</w:t>
            </w:r>
            <w:r>
              <w:rPr>
                <w:rFonts w:ascii="宋体" w:hAnsi="宋体" w:cs="宋体" w:hint="eastAsia"/>
                <w:kern w:val="0"/>
                <w:sz w:val="24"/>
              </w:rPr>
              <w:br/>
              <w:t>执行情况</w:t>
            </w:r>
            <w:r>
              <w:rPr>
                <w:rFonts w:ascii="宋体" w:hAnsi="宋体" w:cs="宋体" w:hint="eastAsia"/>
                <w:kern w:val="0"/>
                <w:sz w:val="24"/>
              </w:rPr>
              <w:br/>
              <w:t>（万元）</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 xml:space="preserve"> 预算数：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sz w:val="24"/>
              </w:rPr>
              <w:t>254.02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 xml:space="preserve"> 执行数：</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rPr>
              <w:t>254.02</w:t>
            </w:r>
          </w:p>
        </w:tc>
      </w:tr>
      <w:tr w:rsidR="000959AA">
        <w:trPr>
          <w:gridAfter w:val="1"/>
          <w:wAfter w:w="237" w:type="dxa"/>
          <w:trHeight w:val="666"/>
        </w:trPr>
        <w:tc>
          <w:tcPr>
            <w:tcW w:w="313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sz w:val="24"/>
              </w:rPr>
              <w:t>254.02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right"/>
              <w:textAlignment w:val="center"/>
              <w:rPr>
                <w:rFonts w:ascii="宋体" w:hAnsi="宋体" w:cs="宋体"/>
                <w:sz w:val="24"/>
              </w:rPr>
            </w:pPr>
            <w:r>
              <w:rPr>
                <w:rFonts w:ascii="宋体" w:hAnsi="宋体" w:cs="宋体" w:hint="eastAsia"/>
                <w:sz w:val="24"/>
              </w:rPr>
              <w:t>254.02</w:t>
            </w:r>
          </w:p>
        </w:tc>
      </w:tr>
      <w:tr w:rsidR="000959AA">
        <w:trPr>
          <w:gridAfter w:val="1"/>
          <w:wAfter w:w="237" w:type="dxa"/>
          <w:trHeight w:val="360"/>
        </w:trPr>
        <w:tc>
          <w:tcPr>
            <w:tcW w:w="313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widowControl/>
              <w:spacing w:line="320" w:lineRule="exact"/>
              <w:jc w:val="left"/>
              <w:textAlignment w:val="center"/>
              <w:rPr>
                <w:rFonts w:ascii="宋体" w:hAnsi="宋体" w:cs="宋体"/>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0959AA">
            <w:pPr>
              <w:widowControl/>
              <w:spacing w:line="320" w:lineRule="exact"/>
              <w:jc w:val="center"/>
              <w:textAlignment w:val="center"/>
              <w:rPr>
                <w:rFonts w:ascii="宋体" w:hAnsi="宋体" w:cs="宋体"/>
                <w:sz w:val="24"/>
              </w:rPr>
            </w:pPr>
          </w:p>
        </w:tc>
      </w:tr>
      <w:tr w:rsidR="000959AA">
        <w:trPr>
          <w:gridAfter w:val="1"/>
          <w:wAfter w:w="237" w:type="dxa"/>
          <w:trHeight w:val="338"/>
        </w:trPr>
        <w:tc>
          <w:tcPr>
            <w:tcW w:w="18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kern w:val="0"/>
                <w:sz w:val="24"/>
              </w:rPr>
            </w:pPr>
            <w:r>
              <w:rPr>
                <w:rFonts w:ascii="宋体" w:hAnsi="宋体" w:cs="宋体" w:hint="eastAsia"/>
                <w:kern w:val="0"/>
                <w:sz w:val="24"/>
              </w:rPr>
              <w:t>年度总体目标</w:t>
            </w:r>
          </w:p>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完成情况</w:t>
            </w:r>
          </w:p>
        </w:tc>
        <w:tc>
          <w:tcPr>
            <w:tcW w:w="42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预期目标</w:t>
            </w:r>
          </w:p>
        </w:tc>
        <w:tc>
          <w:tcPr>
            <w:tcW w:w="35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宋体" w:hAnsi="宋体" w:cs="宋体"/>
                <w:sz w:val="24"/>
              </w:rPr>
            </w:pPr>
            <w:r>
              <w:rPr>
                <w:rFonts w:ascii="宋体" w:hAnsi="宋体" w:cs="宋体" w:hint="eastAsia"/>
                <w:kern w:val="0"/>
                <w:sz w:val="24"/>
              </w:rPr>
              <w:t>目标实际完成情况</w:t>
            </w:r>
          </w:p>
        </w:tc>
      </w:tr>
      <w:tr w:rsidR="000959AA">
        <w:trPr>
          <w:gridAfter w:val="1"/>
          <w:wAfter w:w="237" w:type="dxa"/>
          <w:trHeight w:val="828"/>
        </w:trPr>
        <w:tc>
          <w:tcPr>
            <w:tcW w:w="1819"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0959AA" w:rsidRDefault="000959AA">
            <w:pPr>
              <w:spacing w:line="320" w:lineRule="exact"/>
              <w:jc w:val="center"/>
              <w:rPr>
                <w:rFonts w:ascii="宋体" w:hAnsi="宋体" w:cs="宋体"/>
                <w:sz w:val="24"/>
              </w:rPr>
            </w:pPr>
          </w:p>
        </w:tc>
        <w:tc>
          <w:tcPr>
            <w:tcW w:w="4215" w:type="dxa"/>
            <w:gridSpan w:val="3"/>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jc w:val="left"/>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lang w:val="zh-CN"/>
              </w:rPr>
              <w:t>为减少缺陷儿出生，提高出生人口素质，进一步做好产前筛查、产前诊断工作，开展唐氏筛查、无创ＤＮＡ基因检测、羊水穿刺等检测诊断项目，从而提高我市对高危人群的管理水平，大大降低全市的出生缺陷发生率。2021年创建产前筛查机构、2022年建成宜宾市产前诊断机构。</w:t>
            </w:r>
          </w:p>
        </w:tc>
        <w:tc>
          <w:tcPr>
            <w:tcW w:w="3588" w:type="dxa"/>
            <w:gridSpan w:val="2"/>
            <w:tcBorders>
              <w:top w:val="single" w:sz="4" w:space="0" w:color="000000"/>
              <w:left w:val="single" w:sz="4" w:space="0" w:color="000000"/>
              <w:bottom w:val="single" w:sz="4" w:space="0" w:color="000000"/>
              <w:right w:val="single" w:sz="4" w:space="0" w:color="000000"/>
            </w:tcBorders>
            <w:shd w:val="clear" w:color="auto" w:fill="auto"/>
          </w:tcPr>
          <w:p w:rsidR="000959AA" w:rsidRDefault="00953201">
            <w:pPr>
              <w:widowControl/>
              <w:spacing w:line="320" w:lineRule="exact"/>
              <w:jc w:val="left"/>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lang w:val="zh-CN"/>
              </w:rPr>
              <w:t>减少缺陷儿出生，提高出生人口素质，进一步做好产前筛查、产前诊断工作，开展唐氏筛查、无创ＤＮＡ基因检测、羊水穿刺等检测诊断项目，提高我市对高危人群的管理水平，降低全市的出生缺陷发生率。2021年已获批产前筛查机构</w:t>
            </w:r>
          </w:p>
        </w:tc>
      </w:tr>
      <w:tr w:rsidR="000959AA">
        <w:trPr>
          <w:gridAfter w:val="1"/>
          <w:wAfter w:w="237" w:type="dxa"/>
          <w:trHeight w:val="721"/>
        </w:trPr>
        <w:tc>
          <w:tcPr>
            <w:tcW w:w="18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314" w:type="dxa"/>
            <w:tcBorders>
              <w:top w:val="single" w:sz="4" w:space="0" w:color="000000"/>
              <w:left w:val="single" w:sz="4" w:space="0" w:color="auto"/>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0959AA">
        <w:trPr>
          <w:gridAfter w:val="1"/>
          <w:wAfter w:w="237" w:type="dxa"/>
          <w:trHeight w:val="840"/>
        </w:trPr>
        <w:tc>
          <w:tcPr>
            <w:tcW w:w="18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314"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数量指标</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bottom"/>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改、扩建实验室全面投入工作</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bottom"/>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完成改、扩建实验室全面投入使用</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w:t>
            </w:r>
          </w:p>
        </w:tc>
      </w:tr>
      <w:tr w:rsidR="000959AA">
        <w:trPr>
          <w:gridAfter w:val="1"/>
          <w:wAfter w:w="237" w:type="dxa"/>
          <w:trHeight w:val="955"/>
        </w:trPr>
        <w:tc>
          <w:tcPr>
            <w:tcW w:w="18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314" w:type="dxa"/>
            <w:vMerge/>
            <w:tcBorders>
              <w:top w:val="single" w:sz="4" w:space="0" w:color="000000"/>
              <w:left w:val="single" w:sz="4" w:space="0" w:color="auto"/>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质量指标</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bottom"/>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改善及购置设施设备</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left"/>
              <w:textAlignment w:val="bottom"/>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改善及购置设施设备</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59AA" w:rsidRDefault="00953201">
            <w:pPr>
              <w:widowControl/>
              <w:spacing w:line="320" w:lineRule="exact"/>
              <w:jc w:val="center"/>
              <w:textAlignment w:val="bottom"/>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完成</w:t>
            </w:r>
          </w:p>
        </w:tc>
      </w:tr>
      <w:tr w:rsidR="000959AA">
        <w:trPr>
          <w:gridAfter w:val="1"/>
          <w:wAfter w:w="237" w:type="dxa"/>
          <w:trHeight w:val="436"/>
        </w:trPr>
        <w:tc>
          <w:tcPr>
            <w:tcW w:w="18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314" w:type="dxa"/>
            <w:vMerge/>
            <w:tcBorders>
              <w:top w:val="single" w:sz="4" w:space="0" w:color="000000"/>
              <w:left w:val="single" w:sz="4" w:space="0" w:color="auto"/>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bottom"/>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时效指标</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bottom"/>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2021年底实验室投入使用</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left"/>
              <w:textAlignment w:val="bottom"/>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2021年底实验室投入使用</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完成</w:t>
            </w:r>
          </w:p>
        </w:tc>
      </w:tr>
      <w:tr w:rsidR="000959AA">
        <w:trPr>
          <w:gridAfter w:val="1"/>
          <w:wAfter w:w="237" w:type="dxa"/>
          <w:trHeight w:val="666"/>
        </w:trPr>
        <w:tc>
          <w:tcPr>
            <w:tcW w:w="18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314" w:type="dxa"/>
            <w:vMerge/>
            <w:tcBorders>
              <w:top w:val="single" w:sz="4" w:space="0" w:color="000000"/>
              <w:left w:val="single" w:sz="4" w:space="0" w:color="auto"/>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  指标</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val="zh-CN"/>
              </w:rPr>
              <w:t>提升全市人民就医质量</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val="zh-CN"/>
              </w:rPr>
              <w:t>提升全市人民就医质量</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w:t>
            </w:r>
          </w:p>
        </w:tc>
      </w:tr>
      <w:tr w:rsidR="000959AA">
        <w:trPr>
          <w:gridAfter w:val="1"/>
          <w:wAfter w:w="237" w:type="dxa"/>
          <w:trHeight w:val="666"/>
        </w:trPr>
        <w:tc>
          <w:tcPr>
            <w:tcW w:w="18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314" w:type="dxa"/>
            <w:vMerge/>
            <w:tcBorders>
              <w:top w:val="single" w:sz="4" w:space="0" w:color="000000"/>
              <w:left w:val="single" w:sz="4" w:space="0" w:color="auto"/>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生态效益  指标</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jc w:val="center"/>
              <w:textAlignment w:val="bottom"/>
              <w:rPr>
                <w:rFonts w:ascii="仿宋_GB2312" w:eastAsia="仿宋_GB2312" w:hAnsi="仿宋_GB2312" w:cs="仿宋_GB2312"/>
                <w:sz w:val="28"/>
                <w:szCs w:val="28"/>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jc w:val="center"/>
              <w:textAlignment w:val="bottom"/>
              <w:rPr>
                <w:rFonts w:ascii="仿宋_GB2312" w:eastAsia="仿宋_GB2312" w:hAnsi="仿宋_GB2312" w:cs="仿宋_GB2312"/>
                <w:sz w:val="28"/>
                <w:szCs w:val="28"/>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jc w:val="center"/>
              <w:textAlignment w:val="bottom"/>
              <w:rPr>
                <w:rFonts w:ascii="仿宋_GB2312" w:eastAsia="仿宋_GB2312" w:hAnsi="仿宋_GB2312" w:cs="仿宋_GB2312"/>
                <w:sz w:val="28"/>
                <w:szCs w:val="28"/>
              </w:rPr>
            </w:pPr>
          </w:p>
        </w:tc>
      </w:tr>
      <w:tr w:rsidR="000959AA">
        <w:trPr>
          <w:gridAfter w:val="1"/>
          <w:wAfter w:w="237" w:type="dxa"/>
          <w:trHeight w:val="666"/>
        </w:trPr>
        <w:tc>
          <w:tcPr>
            <w:tcW w:w="18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959AA" w:rsidRDefault="000959AA">
            <w:pPr>
              <w:spacing w:line="320" w:lineRule="exact"/>
              <w:jc w:val="center"/>
              <w:rPr>
                <w:rFonts w:ascii="仿宋_GB2312" w:eastAsia="仿宋_GB2312" w:hAnsi="仿宋_GB2312" w:cs="仿宋_GB2312"/>
                <w:sz w:val="28"/>
                <w:szCs w:val="28"/>
              </w:rPr>
            </w:pPr>
          </w:p>
        </w:tc>
        <w:tc>
          <w:tcPr>
            <w:tcW w:w="1314" w:type="dxa"/>
            <w:vMerge/>
            <w:tcBorders>
              <w:top w:val="single" w:sz="4" w:space="0" w:color="000000"/>
              <w:left w:val="single" w:sz="4" w:space="0" w:color="auto"/>
              <w:bottom w:val="single" w:sz="4" w:space="0" w:color="000000"/>
              <w:right w:val="single" w:sz="4" w:space="0" w:color="000000"/>
            </w:tcBorders>
            <w:shd w:val="clear" w:color="auto" w:fill="auto"/>
            <w:vAlign w:val="bottom"/>
          </w:tcPr>
          <w:p w:rsidR="000959AA" w:rsidRDefault="000959AA">
            <w:pPr>
              <w:spacing w:line="320" w:lineRule="exact"/>
              <w:jc w:val="center"/>
              <w:rPr>
                <w:rFonts w:ascii="仿宋_GB2312" w:eastAsia="仿宋_GB2312" w:hAnsi="仿宋_GB2312" w:cs="仿宋_GB2312"/>
                <w:sz w:val="28"/>
                <w:szCs w:val="28"/>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953201">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可持续影响 指标</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jc w:val="center"/>
              <w:textAlignment w:val="bottom"/>
              <w:rPr>
                <w:rFonts w:ascii="仿宋_GB2312" w:eastAsia="仿宋_GB2312" w:hAnsi="仿宋_GB2312" w:cs="仿宋_GB2312"/>
                <w:sz w:val="28"/>
                <w:szCs w:val="28"/>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jc w:val="center"/>
              <w:textAlignment w:val="bottom"/>
              <w:rPr>
                <w:rFonts w:ascii="仿宋_GB2312" w:eastAsia="仿宋_GB2312" w:hAnsi="仿宋_GB2312" w:cs="仿宋_GB2312"/>
                <w:sz w:val="28"/>
                <w:szCs w:val="28"/>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59AA" w:rsidRDefault="000959AA">
            <w:pPr>
              <w:widowControl/>
              <w:spacing w:line="320" w:lineRule="exact"/>
              <w:jc w:val="center"/>
              <w:textAlignment w:val="bottom"/>
              <w:rPr>
                <w:rFonts w:ascii="仿宋_GB2312" w:eastAsia="仿宋_GB2312" w:hAnsi="仿宋_GB2312" w:cs="仿宋_GB2312"/>
                <w:sz w:val="28"/>
                <w:szCs w:val="28"/>
              </w:rPr>
            </w:pPr>
          </w:p>
        </w:tc>
      </w:tr>
    </w:tbl>
    <w:p w:rsidR="000959AA" w:rsidRDefault="000959AA">
      <w:pPr>
        <w:pStyle w:val="a4"/>
        <w:spacing w:before="93"/>
        <w:rPr>
          <w:rFonts w:ascii="黑体" w:eastAsia="黑体" w:hAnsi="黑体"/>
          <w:sz w:val="44"/>
          <w:szCs w:val="44"/>
        </w:rPr>
      </w:pPr>
    </w:p>
    <w:p w:rsidR="000959AA" w:rsidRDefault="00953201">
      <w:pPr>
        <w:spacing w:line="600" w:lineRule="exact"/>
        <w:jc w:val="center"/>
        <w:outlineLvl w:val="0"/>
        <w:rPr>
          <w:rStyle w:val="1Char"/>
          <w:rFonts w:ascii="黑体" w:eastAsia="黑体" w:hAnsi="黑体"/>
          <w:b w:val="0"/>
        </w:rPr>
      </w:pPr>
      <w:r>
        <w:rPr>
          <w:rFonts w:ascii="黑体" w:eastAsia="黑体" w:hAnsi="黑体" w:hint="eastAsia"/>
          <w:sz w:val="44"/>
          <w:szCs w:val="44"/>
        </w:rPr>
        <w:lastRenderedPageBreak/>
        <w:t>第</w:t>
      </w:r>
      <w:r>
        <w:rPr>
          <w:rStyle w:val="1Char"/>
          <w:rFonts w:ascii="黑体" w:eastAsia="黑体" w:hAnsi="黑体" w:hint="eastAsia"/>
          <w:b w:val="0"/>
        </w:rPr>
        <w:t>五部分 附表</w:t>
      </w:r>
      <w:bookmarkStart w:id="55" w:name="_Toc15396619"/>
      <w:bookmarkEnd w:id="53"/>
      <w:bookmarkEnd w:id="54"/>
    </w:p>
    <w:p w:rsidR="000959AA" w:rsidRDefault="00953201">
      <w:pPr>
        <w:spacing w:line="600" w:lineRule="exact"/>
        <w:jc w:val="left"/>
        <w:outlineLvl w:val="0"/>
        <w:rPr>
          <w:rFonts w:ascii="仿宋" w:eastAsia="仿宋" w:hAnsi="仿宋"/>
        </w:rPr>
      </w:pPr>
      <w:r>
        <w:rPr>
          <w:rStyle w:val="2Char"/>
          <w:rFonts w:ascii="仿宋" w:eastAsia="仿宋" w:hAnsi="仿宋" w:hint="eastAsia"/>
          <w:b w:val="0"/>
          <w:bCs w:val="0"/>
        </w:rPr>
        <w:t>一、收入支出决算总表</w:t>
      </w:r>
      <w:bookmarkEnd w:id="55"/>
    </w:p>
    <w:p w:rsidR="000959AA" w:rsidRDefault="00953201">
      <w:pPr>
        <w:pStyle w:val="2"/>
        <w:rPr>
          <w:rFonts w:ascii="仿宋" w:eastAsia="仿宋" w:hAnsi="仿宋"/>
        </w:rPr>
      </w:pPr>
      <w:bookmarkStart w:id="56" w:name="_Toc15396620"/>
      <w:r>
        <w:rPr>
          <w:rFonts w:ascii="仿宋" w:eastAsia="仿宋" w:hAnsi="仿宋" w:hint="eastAsia"/>
          <w:b w:val="0"/>
        </w:rPr>
        <w:t>二、收</w:t>
      </w:r>
      <w:r>
        <w:rPr>
          <w:rStyle w:val="2Char"/>
          <w:rFonts w:ascii="仿宋" w:eastAsia="仿宋" w:hAnsi="仿宋" w:hint="eastAsia"/>
        </w:rPr>
        <w:t>入决算表</w:t>
      </w:r>
      <w:bookmarkEnd w:id="56"/>
    </w:p>
    <w:p w:rsidR="000959AA" w:rsidRDefault="00953201">
      <w:pPr>
        <w:pStyle w:val="2"/>
        <w:rPr>
          <w:rFonts w:ascii="仿宋" w:eastAsia="仿宋" w:hAnsi="仿宋"/>
        </w:rPr>
      </w:pPr>
      <w:bookmarkStart w:id="57"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57"/>
    </w:p>
    <w:p w:rsidR="000959AA" w:rsidRDefault="00953201">
      <w:pPr>
        <w:pStyle w:val="2"/>
        <w:rPr>
          <w:rFonts w:ascii="仿宋" w:eastAsia="仿宋" w:hAnsi="仿宋"/>
          <w:b w:val="0"/>
        </w:rPr>
      </w:pPr>
      <w:bookmarkStart w:id="58"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58"/>
    </w:p>
    <w:p w:rsidR="000959AA" w:rsidRDefault="00953201">
      <w:pPr>
        <w:pStyle w:val="2"/>
        <w:rPr>
          <w:rStyle w:val="2Char"/>
          <w:rFonts w:ascii="仿宋" w:eastAsia="仿宋" w:hAnsi="仿宋"/>
        </w:rPr>
      </w:pPr>
      <w:bookmarkStart w:id="59"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0" w:name="_Toc15396624"/>
      <w:bookmarkEnd w:id="59"/>
    </w:p>
    <w:p w:rsidR="000959AA" w:rsidRDefault="00953201">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0"/>
    </w:p>
    <w:p w:rsidR="000959AA" w:rsidRDefault="00953201">
      <w:pPr>
        <w:pStyle w:val="2"/>
        <w:rPr>
          <w:rFonts w:ascii="仿宋" w:eastAsia="仿宋" w:hAnsi="仿宋"/>
        </w:rPr>
      </w:pPr>
      <w:bookmarkStart w:id="61"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1"/>
    </w:p>
    <w:p w:rsidR="000959AA" w:rsidRDefault="00953201">
      <w:pPr>
        <w:pStyle w:val="2"/>
        <w:rPr>
          <w:rFonts w:ascii="仿宋" w:eastAsia="仿宋" w:hAnsi="仿宋"/>
        </w:rPr>
      </w:pPr>
      <w:bookmarkStart w:id="62"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2"/>
    </w:p>
    <w:p w:rsidR="000959AA" w:rsidRDefault="00953201">
      <w:pPr>
        <w:pStyle w:val="2"/>
        <w:rPr>
          <w:rFonts w:ascii="仿宋" w:eastAsia="仿宋" w:hAnsi="仿宋"/>
        </w:rPr>
      </w:pPr>
      <w:bookmarkStart w:id="63"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3"/>
    </w:p>
    <w:p w:rsidR="000959AA" w:rsidRDefault="00953201">
      <w:pPr>
        <w:pStyle w:val="2"/>
        <w:rPr>
          <w:rFonts w:ascii="仿宋" w:eastAsia="仿宋" w:hAnsi="仿宋"/>
        </w:rPr>
      </w:pPr>
      <w:bookmarkStart w:id="64" w:name="_Toc15396628"/>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64"/>
    </w:p>
    <w:p w:rsidR="000959AA" w:rsidRDefault="00953201">
      <w:pPr>
        <w:pStyle w:val="2"/>
        <w:rPr>
          <w:rStyle w:val="2Char"/>
          <w:rFonts w:ascii="仿宋" w:eastAsia="仿宋" w:hAnsi="仿宋"/>
        </w:rPr>
      </w:pPr>
      <w:bookmarkStart w:id="65" w:name="_Toc15396629"/>
      <w:r>
        <w:rPr>
          <w:rStyle w:val="2Char"/>
          <w:rFonts w:ascii="仿宋" w:eastAsia="仿宋" w:hAnsi="仿宋" w:hint="eastAsia"/>
        </w:rPr>
        <w:t>十一、政府性基金预算财政拨款收入支出决算表</w:t>
      </w:r>
      <w:bookmarkEnd w:id="65"/>
    </w:p>
    <w:p w:rsidR="000959AA" w:rsidRDefault="00953201">
      <w:pPr>
        <w:pStyle w:val="2"/>
        <w:rPr>
          <w:rStyle w:val="2Char"/>
          <w:rFonts w:ascii="仿宋" w:eastAsia="仿宋" w:hAnsi="仿宋"/>
        </w:rPr>
      </w:pPr>
      <w:bookmarkStart w:id="66" w:name="_Toc15396630"/>
      <w:r>
        <w:rPr>
          <w:rStyle w:val="2Char"/>
          <w:rFonts w:ascii="仿宋" w:eastAsia="仿宋" w:hAnsi="仿宋" w:hint="eastAsia"/>
        </w:rPr>
        <w:t>十二、政府性基金预算财政拨款“三公”经费支出决算表</w:t>
      </w:r>
      <w:bookmarkStart w:id="67" w:name="_Toc15396631"/>
      <w:bookmarkEnd w:id="66"/>
    </w:p>
    <w:p w:rsidR="000959AA" w:rsidRDefault="00953201">
      <w:pPr>
        <w:pStyle w:val="2"/>
        <w:rPr>
          <w:rStyle w:val="2Char"/>
          <w:rFonts w:ascii="仿宋" w:eastAsia="仿宋" w:hAnsi="仿宋"/>
        </w:rPr>
      </w:pPr>
      <w:r>
        <w:rPr>
          <w:rStyle w:val="2Char"/>
          <w:rFonts w:ascii="仿宋" w:eastAsia="仿宋" w:hAnsi="仿宋" w:hint="eastAsia"/>
        </w:rPr>
        <w:t>十三、国有资本经营预算财政拨款收入支出决算表</w:t>
      </w:r>
      <w:bookmarkEnd w:id="67"/>
      <w:r>
        <w:rPr>
          <w:rStyle w:val="2Char"/>
          <w:rFonts w:ascii="仿宋" w:eastAsia="仿宋" w:hAnsi="仿宋" w:hint="eastAsia"/>
        </w:rPr>
        <w:br/>
        <w:t>十四、国有资本经营预算财政拨款支出决算表</w:t>
      </w:r>
    </w:p>
    <w:sectPr w:rsidR="000959AA">
      <w:headerReference w:type="default" r:id="rId17"/>
      <w:footerReference w:type="default" r:id="rId1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41F" w:rsidRDefault="00C0641F">
      <w:r>
        <w:separator/>
      </w:r>
    </w:p>
  </w:endnote>
  <w:endnote w:type="continuationSeparator" w:id="0">
    <w:p w:rsidR="00C0641F" w:rsidRDefault="00C0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方正小标宋简体">
    <w:altName w:val="黑体"/>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81956"/>
    </w:sdtPr>
    <w:sdtEndPr/>
    <w:sdtContent>
      <w:p w:rsidR="000959AA" w:rsidRDefault="00953201">
        <w:pPr>
          <w:pStyle w:val="a6"/>
          <w:jc w:val="center"/>
        </w:pPr>
        <w:r>
          <w:fldChar w:fldCharType="begin"/>
        </w:r>
        <w:r>
          <w:instrText>PAGE   \* MERGEFORMAT</w:instrText>
        </w:r>
        <w:r>
          <w:fldChar w:fldCharType="separate"/>
        </w:r>
        <w:r w:rsidR="00D10E46" w:rsidRPr="00D10E46">
          <w:rPr>
            <w:noProof/>
            <w:lang w:val="zh-CN"/>
          </w:rPr>
          <w:t>10</w:t>
        </w:r>
        <w:r>
          <w:fldChar w:fldCharType="end"/>
        </w:r>
      </w:p>
    </w:sdtContent>
  </w:sdt>
  <w:p w:rsidR="000959AA" w:rsidRDefault="000959A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41F" w:rsidRDefault="00C0641F">
      <w:r>
        <w:separator/>
      </w:r>
    </w:p>
  </w:footnote>
  <w:footnote w:type="continuationSeparator" w:id="0">
    <w:p w:rsidR="00C0641F" w:rsidRDefault="00C06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AA" w:rsidRDefault="000959AA">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9E3A10E2"/>
    <w:rsid w:val="F2E1F9D4"/>
    <w:rsid w:val="F7880819"/>
    <w:rsid w:val="000222C6"/>
    <w:rsid w:val="0002549F"/>
    <w:rsid w:val="000468DB"/>
    <w:rsid w:val="0006487A"/>
    <w:rsid w:val="00065F8F"/>
    <w:rsid w:val="00070A43"/>
    <w:rsid w:val="000768F2"/>
    <w:rsid w:val="0009184B"/>
    <w:rsid w:val="00094236"/>
    <w:rsid w:val="0009593C"/>
    <w:rsid w:val="000959AA"/>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5A8B"/>
    <w:rsid w:val="00260C38"/>
    <w:rsid w:val="002616C0"/>
    <w:rsid w:val="00265372"/>
    <w:rsid w:val="002662AA"/>
    <w:rsid w:val="00280496"/>
    <w:rsid w:val="00294DC9"/>
    <w:rsid w:val="00295495"/>
    <w:rsid w:val="002A31DE"/>
    <w:rsid w:val="002B2613"/>
    <w:rsid w:val="002D6D05"/>
    <w:rsid w:val="002E2EB0"/>
    <w:rsid w:val="002F1818"/>
    <w:rsid w:val="002F567B"/>
    <w:rsid w:val="003216A9"/>
    <w:rsid w:val="00335A74"/>
    <w:rsid w:val="0036561B"/>
    <w:rsid w:val="0037013F"/>
    <w:rsid w:val="00380C92"/>
    <w:rsid w:val="003A2160"/>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06C4"/>
    <w:rsid w:val="00471401"/>
    <w:rsid w:val="00473F31"/>
    <w:rsid w:val="0048263A"/>
    <w:rsid w:val="00487E5D"/>
    <w:rsid w:val="004A711F"/>
    <w:rsid w:val="004B199D"/>
    <w:rsid w:val="004B4690"/>
    <w:rsid w:val="004D7728"/>
    <w:rsid w:val="004E0A2D"/>
    <w:rsid w:val="004E206B"/>
    <w:rsid w:val="004E6DF7"/>
    <w:rsid w:val="004F0FBD"/>
    <w:rsid w:val="0050335B"/>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0508"/>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6F4D89"/>
    <w:rsid w:val="007127B7"/>
    <w:rsid w:val="0071798E"/>
    <w:rsid w:val="00727C47"/>
    <w:rsid w:val="007416B6"/>
    <w:rsid w:val="00746F48"/>
    <w:rsid w:val="00753F32"/>
    <w:rsid w:val="0075404D"/>
    <w:rsid w:val="0076182A"/>
    <w:rsid w:val="00767B7E"/>
    <w:rsid w:val="00767D2D"/>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16F10"/>
    <w:rsid w:val="008253BB"/>
    <w:rsid w:val="0083706E"/>
    <w:rsid w:val="008408F6"/>
    <w:rsid w:val="008423A5"/>
    <w:rsid w:val="00850625"/>
    <w:rsid w:val="00853718"/>
    <w:rsid w:val="00855221"/>
    <w:rsid w:val="00860645"/>
    <w:rsid w:val="00871F71"/>
    <w:rsid w:val="00872FD8"/>
    <w:rsid w:val="00885AF4"/>
    <w:rsid w:val="008864F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3201"/>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3533"/>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57848"/>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2907"/>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0641F"/>
    <w:rsid w:val="00C33E72"/>
    <w:rsid w:val="00C354B2"/>
    <w:rsid w:val="00C35554"/>
    <w:rsid w:val="00C42709"/>
    <w:rsid w:val="00C533CC"/>
    <w:rsid w:val="00C5751C"/>
    <w:rsid w:val="00C61BFC"/>
    <w:rsid w:val="00C62B85"/>
    <w:rsid w:val="00C65438"/>
    <w:rsid w:val="00C87FD8"/>
    <w:rsid w:val="00C91381"/>
    <w:rsid w:val="00C91CBB"/>
    <w:rsid w:val="00CB4D96"/>
    <w:rsid w:val="00CB4E70"/>
    <w:rsid w:val="00CC09B6"/>
    <w:rsid w:val="00CC666F"/>
    <w:rsid w:val="00CD1E3F"/>
    <w:rsid w:val="00CE44F6"/>
    <w:rsid w:val="00CE49DA"/>
    <w:rsid w:val="00CE7B61"/>
    <w:rsid w:val="00D00095"/>
    <w:rsid w:val="00D10E46"/>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447D"/>
    <w:rsid w:val="00F45853"/>
    <w:rsid w:val="00F602DF"/>
    <w:rsid w:val="00F754A1"/>
    <w:rsid w:val="00F81FD9"/>
    <w:rsid w:val="00F841AA"/>
    <w:rsid w:val="00F84A94"/>
    <w:rsid w:val="00F87E96"/>
    <w:rsid w:val="00FA23E8"/>
    <w:rsid w:val="00FB7B1A"/>
    <w:rsid w:val="00FD3CC1"/>
    <w:rsid w:val="00FF1E02"/>
    <w:rsid w:val="00FF30B4"/>
    <w:rsid w:val="01D85FF2"/>
    <w:rsid w:val="0A2032A3"/>
    <w:rsid w:val="0B8A37D8"/>
    <w:rsid w:val="10193893"/>
    <w:rsid w:val="10C055FF"/>
    <w:rsid w:val="118107EC"/>
    <w:rsid w:val="11DD6519"/>
    <w:rsid w:val="16BB723D"/>
    <w:rsid w:val="18015F3F"/>
    <w:rsid w:val="19057E57"/>
    <w:rsid w:val="1BE8440E"/>
    <w:rsid w:val="1D155CEE"/>
    <w:rsid w:val="1D624D60"/>
    <w:rsid w:val="1E865E72"/>
    <w:rsid w:val="20F57F95"/>
    <w:rsid w:val="240371BF"/>
    <w:rsid w:val="25C741E6"/>
    <w:rsid w:val="263E7B93"/>
    <w:rsid w:val="27842671"/>
    <w:rsid w:val="29FD04D3"/>
    <w:rsid w:val="2ABE7A3E"/>
    <w:rsid w:val="2B1F576F"/>
    <w:rsid w:val="2CCD140A"/>
    <w:rsid w:val="2E5B60E1"/>
    <w:rsid w:val="2EFA178C"/>
    <w:rsid w:val="2F0A5F95"/>
    <w:rsid w:val="30B46D73"/>
    <w:rsid w:val="30F75965"/>
    <w:rsid w:val="319F7F4E"/>
    <w:rsid w:val="326A26B3"/>
    <w:rsid w:val="381611E8"/>
    <w:rsid w:val="394E48A2"/>
    <w:rsid w:val="39AE70AB"/>
    <w:rsid w:val="39FA5137"/>
    <w:rsid w:val="3C0C0783"/>
    <w:rsid w:val="3E4C1A9B"/>
    <w:rsid w:val="3F9F3A96"/>
    <w:rsid w:val="421F68CB"/>
    <w:rsid w:val="46613C56"/>
    <w:rsid w:val="493C27E9"/>
    <w:rsid w:val="496F39ED"/>
    <w:rsid w:val="49FF41D3"/>
    <w:rsid w:val="4BE068DB"/>
    <w:rsid w:val="4BF6002B"/>
    <w:rsid w:val="4C942A9F"/>
    <w:rsid w:val="4ECE2238"/>
    <w:rsid w:val="51DB4B86"/>
    <w:rsid w:val="51FC0734"/>
    <w:rsid w:val="55333C3E"/>
    <w:rsid w:val="59AA20A1"/>
    <w:rsid w:val="5A5D5BB4"/>
    <w:rsid w:val="5C60603F"/>
    <w:rsid w:val="5D765D8A"/>
    <w:rsid w:val="5EB05AAA"/>
    <w:rsid w:val="609D40F3"/>
    <w:rsid w:val="64CA39A1"/>
    <w:rsid w:val="65095CAA"/>
    <w:rsid w:val="68EC35E0"/>
    <w:rsid w:val="6C170D95"/>
    <w:rsid w:val="6C4A05C8"/>
    <w:rsid w:val="72734D90"/>
    <w:rsid w:val="79E7B28D"/>
    <w:rsid w:val="7CFE616A"/>
    <w:rsid w:val="7F9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able of figures" w:uiPriority="0" w:unhideWhenUsed="0"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semiHidden/>
    <w:qFormat/>
    <w:pPr>
      <w:ind w:leftChars="200" w:left="200" w:hangingChars="200" w:hanging="200"/>
    </w:pPr>
  </w:style>
  <w:style w:type="paragraph" w:styleId="a4">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8">
    <w:name w:val="Strong"/>
    <w:basedOn w:val="a1"/>
    <w:uiPriority w:val="99"/>
    <w:qFormat/>
    <w:rPr>
      <w:b/>
    </w:rPr>
  </w:style>
  <w:style w:type="character" w:styleId="a9">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7"/>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6"/>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1">
    <w:name w:val="标题 2 Char1"/>
    <w:link w:val="2"/>
    <w:uiPriority w:val="9"/>
    <w:qFormat/>
    <w:rPr>
      <w:rFonts w:ascii="Cambria" w:eastAsia="宋体" w:hAnsi="Cambria" w:cs="Times New Roman"/>
      <w:b/>
      <w:bCs/>
      <w:kern w:val="2"/>
      <w:sz w:val="32"/>
      <w:szCs w:val="32"/>
    </w:rPr>
  </w:style>
  <w:style w:type="paragraph" w:customStyle="1" w:styleId="ab">
    <w:name w:val="四号正文"/>
    <w:basedOn w:val="a"/>
    <w:uiPriority w:val="99"/>
    <w:qFormat/>
    <w:pPr>
      <w:spacing w:line="360" w:lineRule="auto"/>
    </w:pPr>
    <w:rPr>
      <w:rFonts w:ascii="??" w:hAnsi="??" w:cs="??"/>
      <w:color w:val="000000"/>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[工作簿1]Sheet1!$A$2</c:f>
              <c:strCache>
                <c:ptCount val="1"/>
                <c:pt idx="0">
                  <c:v>收支决算总计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2020年</c:v>
                </c:pt>
                <c:pt idx="1">
                  <c:v>2021年</c:v>
                </c:pt>
              </c:strCache>
            </c:strRef>
          </c:cat>
          <c:val>
            <c:numRef>
              <c:f>[工作簿1]Sheet1!$B$2:$C$2</c:f>
              <c:numCache>
                <c:formatCode>General</c:formatCode>
                <c:ptCount val="2"/>
                <c:pt idx="0">
                  <c:v>28081.040000000001</c:v>
                </c:pt>
                <c:pt idx="1">
                  <c:v>26574.1</c:v>
                </c:pt>
              </c:numCache>
            </c:numRef>
          </c:val>
          <c:extLst xmlns:c16r2="http://schemas.microsoft.com/office/drawing/2015/06/chart">
            <c:ext xmlns:c16="http://schemas.microsoft.com/office/drawing/2014/chart" uri="{C3380CC4-5D6E-409C-BE32-E72D297353CC}">
              <c16:uniqueId val="{00000000-D5FB-4E4B-94D8-70AB1A6D1B63}"/>
            </c:ext>
          </c:extLst>
        </c:ser>
        <c:dLbls>
          <c:showLegendKey val="0"/>
          <c:showVal val="1"/>
          <c:showCatName val="0"/>
          <c:showSerName val="0"/>
          <c:showPercent val="0"/>
          <c:showBubbleSize val="0"/>
        </c:dLbls>
        <c:gapWidth val="219"/>
        <c:overlap val="-27"/>
        <c:axId val="86705280"/>
        <c:axId val="86706432"/>
      </c:barChart>
      <c:catAx>
        <c:axId val="867052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6706432"/>
        <c:crosses val="autoZero"/>
        <c:auto val="1"/>
        <c:lblAlgn val="ctr"/>
        <c:lblOffset val="100"/>
        <c:noMultiLvlLbl val="0"/>
      </c:catAx>
      <c:valAx>
        <c:axId val="86706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6705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604166666666701"/>
          <c:y val="0.17638888888888901"/>
          <c:w val="0.40069444444444402"/>
          <c:h val="0.66782407407407396"/>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636-4F36-A200-ED912D65632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636-4F36-A200-ED912D65632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636-4F36-A200-ED912D65632F}"/>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[工作簿1]Sheet1!$A$3:$A$5</c:f>
              <c:strCache>
                <c:ptCount val="3"/>
                <c:pt idx="0">
                  <c:v>财政拨款</c:v>
                </c:pt>
                <c:pt idx="1">
                  <c:v>事业收入</c:v>
                </c:pt>
                <c:pt idx="2">
                  <c:v>其他收入</c:v>
                </c:pt>
              </c:strCache>
            </c:strRef>
          </c:cat>
          <c:val>
            <c:numRef>
              <c:f>[工作簿1]Sheet1!$B$3:$B$5</c:f>
              <c:numCache>
                <c:formatCode>General</c:formatCode>
                <c:ptCount val="3"/>
                <c:pt idx="0">
                  <c:v>2487.9499999999998</c:v>
                </c:pt>
                <c:pt idx="1">
                  <c:v>7906.49</c:v>
                </c:pt>
                <c:pt idx="2">
                  <c:v>6.72</c:v>
                </c:pt>
              </c:numCache>
            </c:numRef>
          </c:val>
          <c:extLst xmlns:c16r2="http://schemas.microsoft.com/office/drawing/2015/06/chart">
            <c:ext xmlns:c16="http://schemas.microsoft.com/office/drawing/2014/chart" uri="{C3380CC4-5D6E-409C-BE32-E72D297353CC}">
              <c16:uniqueId val="{00000006-7636-4F36-A200-ED912D65632F}"/>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0AD-4EFD-9058-C4CBB890B8E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0AD-4EFD-9058-C4CBB890B8E9}"/>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[工作簿1]Sheet1!$A$6:$A$7</c:f>
              <c:strCache>
                <c:ptCount val="2"/>
                <c:pt idx="0">
                  <c:v>基本支出</c:v>
                </c:pt>
                <c:pt idx="1">
                  <c:v>项目支出</c:v>
                </c:pt>
              </c:strCache>
            </c:strRef>
          </c:cat>
          <c:val>
            <c:numRef>
              <c:f>[工作簿1]Sheet1!$B$6:$B$7</c:f>
              <c:numCache>
                <c:formatCode>General</c:formatCode>
                <c:ptCount val="2"/>
                <c:pt idx="0">
                  <c:v>9377.34</c:v>
                </c:pt>
                <c:pt idx="1">
                  <c:v>1188.47</c:v>
                </c:pt>
              </c:numCache>
            </c:numRef>
          </c:val>
          <c:extLst xmlns:c16r2="http://schemas.microsoft.com/office/drawing/2015/06/chart">
            <c:ext xmlns:c16="http://schemas.microsoft.com/office/drawing/2014/chart" uri="{C3380CC4-5D6E-409C-BE32-E72D297353CC}">
              <c16:uniqueId val="{00000004-30AD-4EFD-9058-C4CBB890B8E9}"/>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单位：万元</a:t>
            </a:r>
          </a:p>
        </c:rich>
      </c:tx>
      <c:layout>
        <c:manualLayout>
          <c:xMode val="edge"/>
          <c:yMode val="edge"/>
          <c:x val="0.76791666666666702"/>
          <c:y val="1.7361111111111101E-2"/>
        </c:manualLayout>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收支决算总计</c:v>
                </c:pt>
              </c:strCache>
            </c:strRef>
          </c:tx>
          <c:spPr>
            <a:solidFill>
              <a:schemeClr val="accent6"/>
            </a:solidFill>
            <a:ln>
              <a:noFill/>
            </a:ln>
            <a:effectLst/>
          </c:spPr>
          <c:invertIfNegative val="0"/>
          <c:cat>
            <c:strRef>
              <c:f>[工作簿1]Sheet1!$B$1:$C$1</c:f>
              <c:strCache>
                <c:ptCount val="2"/>
                <c:pt idx="0">
                  <c:v>2020年</c:v>
                </c:pt>
                <c:pt idx="1">
                  <c:v>2021年</c:v>
                </c:pt>
              </c:strCache>
            </c:strRef>
          </c:cat>
          <c:val>
            <c:numRef>
              <c:f>[工作簿1]Sheet1!$B$2:$C$2</c:f>
            </c:numRef>
          </c:val>
          <c:extLst xmlns:c16r2="http://schemas.microsoft.com/office/drawing/2015/06/chart">
            <c:ext xmlns:c16="http://schemas.microsoft.com/office/drawing/2014/chart" uri="{C3380CC4-5D6E-409C-BE32-E72D297353CC}">
              <c16:uniqueId val="{00000000-A3EA-4988-B0A1-68A1ECF935BC}"/>
            </c:ext>
          </c:extLst>
        </c:ser>
        <c:ser>
          <c:idx val="1"/>
          <c:order val="1"/>
          <c:tx>
            <c:strRef>
              <c:f>[工作簿1]Sheet1!$A$3</c:f>
              <c:strCache>
                <c:ptCount val="1"/>
                <c:pt idx="0">
                  <c:v>财政收支总计</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2020年</c:v>
                </c:pt>
                <c:pt idx="1">
                  <c:v>2021年</c:v>
                </c:pt>
              </c:strCache>
            </c:strRef>
          </c:cat>
          <c:val>
            <c:numRef>
              <c:f>[工作簿1]Sheet1!$B$3:$C$3</c:f>
              <c:numCache>
                <c:formatCode>General</c:formatCode>
                <c:ptCount val="2"/>
                <c:pt idx="0">
                  <c:v>7558.44</c:v>
                </c:pt>
                <c:pt idx="1">
                  <c:v>5222.5</c:v>
                </c:pt>
              </c:numCache>
            </c:numRef>
          </c:val>
          <c:extLst xmlns:c16r2="http://schemas.microsoft.com/office/drawing/2015/06/chart">
            <c:ext xmlns:c16="http://schemas.microsoft.com/office/drawing/2014/chart" uri="{C3380CC4-5D6E-409C-BE32-E72D297353CC}">
              <c16:uniqueId val="{00000001-A3EA-4988-B0A1-68A1ECF935BC}"/>
            </c:ext>
          </c:extLst>
        </c:ser>
        <c:dLbls>
          <c:showLegendKey val="0"/>
          <c:showVal val="0"/>
          <c:showCatName val="0"/>
          <c:showSerName val="0"/>
          <c:showPercent val="0"/>
          <c:showBubbleSize val="0"/>
        </c:dLbls>
        <c:gapWidth val="219"/>
        <c:overlap val="-27"/>
        <c:axId val="86934656"/>
        <c:axId val="86936192"/>
      </c:barChart>
      <c:catAx>
        <c:axId val="869346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6936192"/>
        <c:crosses val="autoZero"/>
        <c:auto val="1"/>
        <c:lblAlgn val="ctr"/>
        <c:lblOffset val="100"/>
        <c:noMultiLvlLbl val="0"/>
      </c:catAx>
      <c:valAx>
        <c:axId val="86936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693465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单位：万元</a:t>
            </a:r>
          </a:p>
        </c:rich>
      </c:tx>
      <c:layout>
        <c:manualLayout>
          <c:xMode val="edge"/>
          <c:yMode val="edge"/>
          <c:x val="0.745"/>
          <c:y val="2.7777777777777801E-2"/>
        </c:manualLayout>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财政收支总计</c:v>
                </c:pt>
              </c:strCache>
            </c:strRef>
          </c:tx>
          <c:spPr>
            <a:solidFill>
              <a:schemeClr val="accent1">
                <a:shade val="76667"/>
              </a:schemeClr>
            </a:solidFill>
            <a:ln>
              <a:noFill/>
            </a:ln>
            <a:effectLst/>
          </c:spPr>
          <c:invertIfNegative val="0"/>
          <c:cat>
            <c:strRef>
              <c:f>[工作簿1]Sheet1!$B$1:$C$1</c:f>
              <c:strCache>
                <c:ptCount val="2"/>
                <c:pt idx="0">
                  <c:v>2021年</c:v>
                </c:pt>
                <c:pt idx="1">
                  <c:v>2020年</c:v>
                </c:pt>
              </c:strCache>
            </c:strRef>
          </c:cat>
          <c:val>
            <c:numRef>
              <c:f>[工作簿1]Sheet1!$B$2:$C$2</c:f>
            </c:numRef>
          </c:val>
          <c:extLst xmlns:c16r2="http://schemas.microsoft.com/office/drawing/2015/06/chart">
            <c:ext xmlns:c16="http://schemas.microsoft.com/office/drawing/2014/chart" uri="{C3380CC4-5D6E-409C-BE32-E72D297353CC}">
              <c16:uniqueId val="{00000000-79C0-4581-A789-3C8B7CF127F7}"/>
            </c:ext>
          </c:extLst>
        </c:ser>
        <c:ser>
          <c:idx val="1"/>
          <c:order val="1"/>
          <c:tx>
            <c:strRef>
              <c:f>[工作簿1]Sheet1!$A$3</c:f>
              <c:strCache>
                <c:ptCount val="1"/>
                <c:pt idx="0">
                  <c:v>财政拨款支出</c:v>
                </c:pt>
              </c:strCache>
            </c:strRef>
          </c:tx>
          <c:spPr>
            <a:solidFill>
              <a:schemeClr val="accent1">
                <a:tint val="76667"/>
              </a:schemeClr>
            </a:solidFill>
            <a:ln>
              <a:noFill/>
            </a:ln>
            <a:effectLst/>
          </c:spPr>
          <c:invertIfNegative val="0"/>
          <c:dLbls>
            <c:dLbl>
              <c:idx val="0"/>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9C0-4581-A789-3C8B7CF127F7}"/>
                </c:ext>
              </c:extLst>
            </c:dLbl>
            <c:dLbl>
              <c:idx val="1"/>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9C0-4581-A789-3C8B7CF127F7}"/>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2021年</c:v>
                </c:pt>
                <c:pt idx="1">
                  <c:v>2020年</c:v>
                </c:pt>
              </c:strCache>
            </c:strRef>
          </c:cat>
          <c:val>
            <c:numRef>
              <c:f>[工作簿1]Sheet1!$B$3:$C$3</c:f>
              <c:numCache>
                <c:formatCode>General</c:formatCode>
                <c:ptCount val="2"/>
                <c:pt idx="0">
                  <c:v>2611.25</c:v>
                </c:pt>
                <c:pt idx="1">
                  <c:v>3655.92</c:v>
                </c:pt>
              </c:numCache>
            </c:numRef>
          </c:val>
          <c:extLst xmlns:c16r2="http://schemas.microsoft.com/office/drawing/2015/06/chart">
            <c:ext xmlns:c16="http://schemas.microsoft.com/office/drawing/2014/chart" uri="{C3380CC4-5D6E-409C-BE32-E72D297353CC}">
              <c16:uniqueId val="{00000003-79C0-4581-A789-3C8B7CF127F7}"/>
            </c:ext>
          </c:extLst>
        </c:ser>
        <c:dLbls>
          <c:showLegendKey val="0"/>
          <c:showVal val="0"/>
          <c:showCatName val="0"/>
          <c:showSerName val="0"/>
          <c:showPercent val="0"/>
          <c:showBubbleSize val="0"/>
        </c:dLbls>
        <c:gapWidth val="219"/>
        <c:overlap val="-27"/>
        <c:axId val="86984576"/>
        <c:axId val="86986112"/>
      </c:barChart>
      <c:catAx>
        <c:axId val="869845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6986112"/>
        <c:crosses val="autoZero"/>
        <c:auto val="1"/>
        <c:lblAlgn val="ctr"/>
        <c:lblOffset val="100"/>
        <c:noMultiLvlLbl val="0"/>
      </c:catAx>
      <c:valAx>
        <c:axId val="86986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6984576"/>
        <c:crosses val="autoZero"/>
        <c:crossBetween val="between"/>
      </c:valAx>
      <c:spPr>
        <a:noFill/>
        <a:ln>
          <a:noFill/>
        </a:ln>
        <a:effectLst/>
      </c:spPr>
    </c:plotArea>
    <c:legend>
      <c:legendPos val="b"/>
      <c:layout>
        <c:manualLayout>
          <c:xMode val="edge"/>
          <c:yMode val="edge"/>
          <c:x val="0.39787234042553199"/>
          <c:y val="0.8948130976528539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lang="zh-CN" altLang="en-US"/>
              <a:t>年一般公共预算财政拨款支出</a:t>
            </a:r>
          </a:p>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（单位：万元）</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E63-4343-84C6-D76E5BF3D7E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E63-4343-84C6-D76E5BF3D7E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E63-4343-84C6-D76E5BF3D7EE}"/>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[工作簿1]Sheet1!$A$15:$A$17</c:f>
              <c:strCache>
                <c:ptCount val="3"/>
                <c:pt idx="0">
                  <c:v>社会保障和就业支出</c:v>
                </c:pt>
                <c:pt idx="1">
                  <c:v>卫生健康支出</c:v>
                </c:pt>
                <c:pt idx="2">
                  <c:v>灾害防治及应急管理支出</c:v>
                </c:pt>
              </c:strCache>
            </c:strRef>
          </c:cat>
          <c:val>
            <c:numRef>
              <c:f>[工作簿1]Sheet1!$B$15:$B$17</c:f>
              <c:numCache>
                <c:formatCode>#,##0.00</c:formatCode>
                <c:ptCount val="3"/>
                <c:pt idx="0">
                  <c:v>258.91629999999998</c:v>
                </c:pt>
                <c:pt idx="1">
                  <c:v>2309.3350999999998</c:v>
                </c:pt>
                <c:pt idx="2">
                  <c:v>43</c:v>
                </c:pt>
              </c:numCache>
            </c:numRef>
          </c:val>
          <c:extLst xmlns:c16r2="http://schemas.microsoft.com/office/drawing/2015/06/chart">
            <c:ext xmlns:c16="http://schemas.microsoft.com/office/drawing/2014/chart" uri="{C3380CC4-5D6E-409C-BE32-E72D297353CC}">
              <c16:uniqueId val="{00000006-AE63-4343-84C6-D76E5BF3D7EE}"/>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05056778695132"/>
          <c:y val="0.93776197604790401"/>
          <c:w val="0.85861111111111099"/>
          <c:h val="5.6250000000000001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8F0-4159-9F05-5DABB81E228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8F0-4159-9F05-5DABB81E228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8F0-4159-9F05-5DABB81E228D}"/>
              </c:ext>
            </c:extLst>
          </c:dPt>
          <c:dLbls>
            <c:dLbl>
              <c:idx val="0"/>
              <c:tx>
                <c:rich>
                  <a:bodyPr/>
                  <a:lstStyle/>
                  <a:p>
                    <a:r>
                      <a:rPr lang="en-US" altLang="zh-CN"/>
                      <a:t>0%</a:t>
                    </a:r>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8F0-4159-9F05-5DABB81E228D}"/>
                </c:ext>
              </c:extLst>
            </c:dLbl>
            <c:dLbl>
              <c:idx val="1"/>
              <c:tx>
                <c:rich>
                  <a:bodyPr/>
                  <a:lstStyle/>
                  <a:p>
                    <a:r>
                      <a:rPr lang="en-US" altLang="zh-CN"/>
                      <a:t>100%</a:t>
                    </a:r>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8F0-4159-9F05-5DABB81E228D}"/>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8F0-4159-9F05-5DABB81E228D}"/>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[工作簿1]Sheet1!$A$23:$A$28</c:f>
              <c:strCache>
                <c:ptCount val="3"/>
                <c:pt idx="0">
                  <c:v>1．因公出国（境）费</c:v>
                </c:pt>
                <c:pt idx="1">
                  <c:v>2．公务用车购置及运行维护费</c:v>
                </c:pt>
                <c:pt idx="2">
                  <c:v>3．公务接待费</c:v>
                </c:pt>
              </c:strCache>
            </c:strRef>
          </c:cat>
          <c:val>
            <c:numRef>
              <c:f>[工作簿1]Sheet1!$B$23:$B$28</c:f>
              <c:numCache>
                <c:formatCode>#,##0.00</c:formatCode>
                <c:ptCount val="3"/>
                <c:pt idx="0">
                  <c:v>0</c:v>
                </c:pt>
                <c:pt idx="1">
                  <c:v>11.067755999999999</c:v>
                </c:pt>
                <c:pt idx="2">
                  <c:v>0</c:v>
                </c:pt>
              </c:numCache>
            </c:numRef>
          </c:val>
          <c:extLst xmlns:c16r2="http://schemas.microsoft.com/office/drawing/2015/06/chart">
            <c:ext xmlns:c16="http://schemas.microsoft.com/office/drawing/2014/chart" uri="{C3380CC4-5D6E-409C-BE32-E72D297353CC}">
              <c16:uniqueId val="{00000006-08F0-4159-9F05-5DABB81E228D}"/>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A2599-3739-462F-938B-549DF09A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1656</Words>
  <Characters>9441</Characters>
  <Application>Microsoft Office Word</Application>
  <DocSecurity>0</DocSecurity>
  <Lines>78</Lines>
  <Paragraphs>22</Paragraphs>
  <ScaleCrop>false</ScaleCrop>
  <Company>四川省财政厅</Company>
  <LinksUpToDate>false</LinksUpToDate>
  <CharactersWithSpaces>11075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china</cp:lastModifiedBy>
  <cp:revision>44</cp:revision>
  <cp:lastPrinted>2022-08-06T02:23:00Z</cp:lastPrinted>
  <dcterms:created xsi:type="dcterms:W3CDTF">2020-08-05T01:49:00Z</dcterms:created>
  <dcterms:modified xsi:type="dcterms:W3CDTF">2023-09-28T01:48:00Z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