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8E7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30" w:lineRule="atLeast"/>
        <w:ind w:left="0" w:right="0" w:firstLine="0"/>
        <w:jc w:val="left"/>
        <w:rPr>
          <w:rFonts w:hint="default" w:ascii="Microsoft YaHei UI" w:hAnsi="Microsoft YaHei UI" w:eastAsia="Microsoft YaHei UI" w:cs="Microsoft YaHei UI"/>
          <w:i w:val="0"/>
          <w:caps w:val="0"/>
          <w:color w:val="333333"/>
          <w:spacing w:val="0"/>
          <w:sz w:val="18"/>
          <w:szCs w:val="18"/>
        </w:rPr>
      </w:pPr>
      <w:bookmarkStart w:id="0" w:name="_GoBack"/>
      <w:bookmarkEnd w:id="0"/>
    </w:p>
    <w:tbl>
      <w:tblPr>
        <w:tblStyle w:val="6"/>
        <w:tblW w:w="7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40"/>
        <w:gridCol w:w="1225"/>
        <w:gridCol w:w="663"/>
        <w:gridCol w:w="712"/>
        <w:gridCol w:w="3575"/>
      </w:tblGrid>
      <w:tr w14:paraId="20F0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555" w:type="dxa"/>
            <w:gridSpan w:val="6"/>
            <w:tcBorders>
              <w:top w:val="nil"/>
              <w:left w:val="nil"/>
              <w:bottom w:val="nil"/>
              <w:right w:val="nil"/>
            </w:tcBorders>
            <w:shd w:val="clear" w:color="auto" w:fill="auto"/>
            <w:noWrap/>
            <w:vAlign w:val="center"/>
          </w:tcPr>
          <w:p w14:paraId="52D6C7BD">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52"/>
                <w:szCs w:val="52"/>
                <w:u w:val="none"/>
              </w:rPr>
            </w:pPr>
            <w:r>
              <w:rPr>
                <w:rFonts w:hint="default" w:ascii="方正小标宋简体" w:hAnsi="方正小标宋简体" w:eastAsia="方正小标宋简体" w:cs="方正小标宋简体"/>
                <w:b/>
                <w:bCs/>
                <w:i w:val="0"/>
                <w:iCs w:val="0"/>
                <w:color w:val="000000"/>
                <w:kern w:val="0"/>
                <w:sz w:val="52"/>
                <w:szCs w:val="52"/>
                <w:u w:val="none"/>
                <w:lang w:val="en-US" w:eastAsia="zh-CN" w:bidi="ar"/>
              </w:rPr>
              <w:t>宜宾市妇幼保健院</w:t>
            </w:r>
          </w:p>
        </w:tc>
      </w:tr>
      <w:tr w14:paraId="2340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CBE1">
            <w:pPr>
              <w:keepNext w:val="0"/>
              <w:keepLines w:val="0"/>
              <w:widowControl/>
              <w:suppressLineNumbers w:val="0"/>
              <w:jc w:val="center"/>
              <w:textAlignment w:val="center"/>
              <w:rPr>
                <w:rFonts w:ascii="仿宋_GB2312" w:hAnsi="Tahoma" w:eastAsia="仿宋_GB2312" w:cs="仿宋_GB2312"/>
                <w:b/>
                <w:bCs/>
                <w:i w:val="0"/>
                <w:iCs w:val="0"/>
                <w:color w:val="000000"/>
                <w:sz w:val="22"/>
                <w:szCs w:val="22"/>
                <w:u w:val="none"/>
              </w:rPr>
            </w:pPr>
            <w:r>
              <w:rPr>
                <w:rFonts w:hint="default" w:ascii="仿宋_GB2312" w:hAnsi="Tahoma" w:eastAsia="仿宋_GB2312" w:cs="仿宋_GB2312"/>
                <w:b/>
                <w:bCs/>
                <w:i w:val="0"/>
                <w:iCs w:val="0"/>
                <w:color w:val="000000"/>
                <w:kern w:val="0"/>
                <w:sz w:val="22"/>
                <w:szCs w:val="22"/>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1E4">
            <w:pPr>
              <w:keepNext w:val="0"/>
              <w:keepLines w:val="0"/>
              <w:widowControl/>
              <w:suppressLineNumbers w:val="0"/>
              <w:jc w:val="center"/>
              <w:textAlignment w:val="center"/>
              <w:rPr>
                <w:rFonts w:hint="default" w:ascii="仿宋_GB2312" w:hAnsi="Tahoma" w:eastAsia="仿宋_GB2312" w:cs="仿宋_GB2312"/>
                <w:b/>
                <w:bCs/>
                <w:i w:val="0"/>
                <w:iCs w:val="0"/>
                <w:color w:val="000000"/>
                <w:sz w:val="22"/>
                <w:szCs w:val="22"/>
                <w:u w:val="none"/>
              </w:rPr>
            </w:pPr>
            <w:r>
              <w:rPr>
                <w:rFonts w:hint="default" w:ascii="仿宋_GB2312" w:hAnsi="Tahoma" w:eastAsia="仿宋_GB2312" w:cs="仿宋_GB2312"/>
                <w:b/>
                <w:bCs/>
                <w:i w:val="0"/>
                <w:iCs w:val="0"/>
                <w:color w:val="000000"/>
                <w:kern w:val="0"/>
                <w:sz w:val="22"/>
                <w:szCs w:val="22"/>
                <w:u w:val="none"/>
                <w:lang w:val="en-US" w:eastAsia="zh-CN" w:bidi="ar"/>
              </w:rPr>
              <w:t>提出科室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0F0B">
            <w:pPr>
              <w:keepNext w:val="0"/>
              <w:keepLines w:val="0"/>
              <w:widowControl/>
              <w:suppressLineNumbers w:val="0"/>
              <w:jc w:val="center"/>
              <w:textAlignment w:val="center"/>
              <w:rPr>
                <w:rFonts w:hint="default" w:ascii="仿宋_GB2312" w:hAnsi="Tahoma" w:eastAsia="仿宋_GB2312" w:cs="仿宋_GB2312"/>
                <w:b/>
                <w:bCs/>
                <w:i w:val="0"/>
                <w:iCs w:val="0"/>
                <w:color w:val="000000"/>
                <w:sz w:val="22"/>
                <w:szCs w:val="22"/>
                <w:u w:val="none"/>
              </w:rPr>
            </w:pPr>
            <w:r>
              <w:rPr>
                <w:rFonts w:hint="default" w:ascii="仿宋_GB2312" w:hAnsi="Tahoma" w:eastAsia="仿宋_GB2312" w:cs="仿宋_GB2312"/>
                <w:b/>
                <w:bCs/>
                <w:i w:val="0"/>
                <w:iCs w:val="0"/>
                <w:color w:val="000000"/>
                <w:kern w:val="0"/>
                <w:sz w:val="22"/>
                <w:szCs w:val="22"/>
                <w:u w:val="none"/>
                <w:lang w:val="en-US" w:eastAsia="zh-CN" w:bidi="ar"/>
              </w:rPr>
              <w:t>药品名称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9541">
            <w:pPr>
              <w:keepNext w:val="0"/>
              <w:keepLines w:val="0"/>
              <w:widowControl/>
              <w:suppressLineNumbers w:val="0"/>
              <w:jc w:val="center"/>
              <w:textAlignment w:val="center"/>
              <w:rPr>
                <w:rFonts w:hint="default" w:ascii="仿宋_GB2312" w:hAnsi="Tahoma" w:eastAsia="仿宋_GB2312" w:cs="仿宋_GB2312"/>
                <w:b/>
                <w:bCs/>
                <w:i w:val="0"/>
                <w:iCs w:val="0"/>
                <w:color w:val="000000"/>
                <w:sz w:val="22"/>
                <w:szCs w:val="22"/>
                <w:u w:val="none"/>
              </w:rPr>
            </w:pPr>
            <w:r>
              <w:rPr>
                <w:rFonts w:hint="default" w:ascii="仿宋_GB2312" w:hAnsi="Tahoma" w:eastAsia="仿宋_GB2312" w:cs="仿宋_GB2312"/>
                <w:b/>
                <w:bCs/>
                <w:i w:val="0"/>
                <w:iCs w:val="0"/>
                <w:color w:val="000000"/>
                <w:kern w:val="0"/>
                <w:sz w:val="22"/>
                <w:szCs w:val="22"/>
                <w:u w:val="none"/>
                <w:lang w:val="en-US" w:eastAsia="zh-CN" w:bidi="ar"/>
              </w:rPr>
              <w:t>剂型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F66">
            <w:pPr>
              <w:keepNext w:val="0"/>
              <w:keepLines w:val="0"/>
              <w:widowControl/>
              <w:suppressLineNumbers w:val="0"/>
              <w:jc w:val="center"/>
              <w:textAlignment w:val="center"/>
              <w:rPr>
                <w:rFonts w:hint="default" w:ascii="仿宋_GB2312" w:hAnsi="Tahoma" w:eastAsia="仿宋_GB2312" w:cs="仿宋_GB2312"/>
                <w:b/>
                <w:bCs/>
                <w:i w:val="0"/>
                <w:iCs w:val="0"/>
                <w:color w:val="000000"/>
                <w:sz w:val="22"/>
                <w:szCs w:val="22"/>
                <w:u w:val="none"/>
              </w:rPr>
            </w:pPr>
            <w:r>
              <w:rPr>
                <w:rFonts w:hint="default" w:ascii="仿宋_GB2312" w:hAnsi="Tahoma" w:eastAsia="仿宋_GB2312" w:cs="仿宋_GB2312"/>
                <w:b/>
                <w:bCs/>
                <w:i w:val="0"/>
                <w:iCs w:val="0"/>
                <w:color w:val="000000"/>
                <w:kern w:val="0"/>
                <w:sz w:val="22"/>
                <w:szCs w:val="22"/>
                <w:u w:val="none"/>
                <w:lang w:val="en-US" w:eastAsia="zh-CN" w:bidi="ar"/>
              </w:rPr>
              <w:t>规格</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C54">
            <w:pPr>
              <w:keepNext w:val="0"/>
              <w:keepLines w:val="0"/>
              <w:widowControl/>
              <w:suppressLineNumbers w:val="0"/>
              <w:jc w:val="center"/>
              <w:textAlignment w:val="center"/>
              <w:rPr>
                <w:rFonts w:hint="default" w:ascii="仿宋_GB2312" w:hAnsi="Tahoma" w:eastAsia="仿宋_GB2312" w:cs="仿宋_GB2312"/>
                <w:b/>
                <w:bCs/>
                <w:i w:val="0"/>
                <w:iCs w:val="0"/>
                <w:color w:val="000000"/>
                <w:sz w:val="22"/>
                <w:szCs w:val="22"/>
                <w:u w:val="none"/>
              </w:rPr>
            </w:pPr>
            <w:r>
              <w:rPr>
                <w:rFonts w:hint="default" w:ascii="仿宋_GB2312" w:hAnsi="Tahoma" w:eastAsia="仿宋_GB2312" w:cs="仿宋_GB2312"/>
                <w:b/>
                <w:bCs/>
                <w:i w:val="0"/>
                <w:iCs w:val="0"/>
                <w:color w:val="000000"/>
                <w:kern w:val="0"/>
                <w:sz w:val="22"/>
                <w:szCs w:val="22"/>
                <w:u w:val="none"/>
                <w:lang w:val="en-US" w:eastAsia="zh-CN" w:bidi="ar"/>
              </w:rPr>
              <w:t>适应症</w:t>
            </w:r>
          </w:p>
        </w:tc>
      </w:tr>
      <w:tr w14:paraId="4CBF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130B">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B69">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儿保科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AA3B">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五维赖氨酸颗粒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460B">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颗粒剂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EE74">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 xml:space="preserve"> 5g*12包</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91B">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赖氨酸为人体必需氨基酸，能促进生长发育，用于促进小儿、儿童生长发育的营养补充。</w:t>
            </w:r>
          </w:p>
        </w:tc>
      </w:tr>
      <w:tr w14:paraId="7C3F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6A86">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C5F5">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儿保科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427">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小儿化食丸</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574">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丸剂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DD08">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1.5g*10丸</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C85B">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用于消食化积、泻火通便。症状：厌食、烦躁、恶心呕吐、口渴、腹胀、大便干燥。</w:t>
            </w:r>
          </w:p>
        </w:tc>
      </w:tr>
      <w:tr w14:paraId="78D1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2F4">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368">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乳甲科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00DD">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阿那曲唑片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1DD">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片剂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8727">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lmg*14片</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887">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适用于绝经后妇女的晚期乳腺癌的治疗，对雌激素受体阴性的病人，若其对他莫昔芬呈现阳性的临床反应，可考虑使用本品。适用于绝经后妇女激素受体阳性的早期乳腺癌的辅助治疗。适用于曾接受2到3年他莫昔芬辅助治疗的绝经后妇女激素受体阳性的早期乳腺癌的辅助治疗。</w:t>
            </w:r>
          </w:p>
        </w:tc>
      </w:tr>
      <w:tr w14:paraId="65FE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36B">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D8B1D02">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乳甲科</w:t>
            </w:r>
          </w:p>
        </w:tc>
        <w:tc>
          <w:tcPr>
            <w:tcW w:w="1225" w:type="dxa"/>
            <w:tcBorders>
              <w:top w:val="single" w:color="000000" w:sz="4" w:space="0"/>
              <w:left w:val="single" w:color="000000" w:sz="4" w:space="0"/>
              <w:bottom w:val="nil"/>
              <w:right w:val="single" w:color="000000" w:sz="4" w:space="0"/>
            </w:tcBorders>
            <w:shd w:val="clear" w:color="auto" w:fill="auto"/>
            <w:vAlign w:val="center"/>
          </w:tcPr>
          <w:p w14:paraId="56AB026C">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卡培他滨片</w:t>
            </w:r>
          </w:p>
        </w:tc>
        <w:tc>
          <w:tcPr>
            <w:tcW w:w="663" w:type="dxa"/>
            <w:tcBorders>
              <w:top w:val="single" w:color="000000" w:sz="4" w:space="0"/>
              <w:left w:val="single" w:color="000000" w:sz="4" w:space="0"/>
              <w:bottom w:val="nil"/>
              <w:right w:val="single" w:color="000000" w:sz="4" w:space="0"/>
            </w:tcBorders>
            <w:shd w:val="clear" w:color="auto" w:fill="auto"/>
            <w:vAlign w:val="center"/>
          </w:tcPr>
          <w:p w14:paraId="66FA6214">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片剂</w:t>
            </w:r>
          </w:p>
        </w:tc>
        <w:tc>
          <w:tcPr>
            <w:tcW w:w="712" w:type="dxa"/>
            <w:tcBorders>
              <w:top w:val="single" w:color="000000" w:sz="4" w:space="0"/>
              <w:left w:val="single" w:color="000000" w:sz="4" w:space="0"/>
              <w:bottom w:val="nil"/>
              <w:right w:val="single" w:color="000000" w:sz="4" w:space="0"/>
            </w:tcBorders>
            <w:shd w:val="clear" w:color="auto" w:fill="auto"/>
            <w:vAlign w:val="center"/>
          </w:tcPr>
          <w:p w14:paraId="5A42A507">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0.5g*12片</w:t>
            </w:r>
          </w:p>
        </w:tc>
        <w:tc>
          <w:tcPr>
            <w:tcW w:w="3575" w:type="dxa"/>
            <w:tcBorders>
              <w:top w:val="single" w:color="000000" w:sz="4" w:space="0"/>
              <w:left w:val="single" w:color="000000" w:sz="4" w:space="0"/>
              <w:bottom w:val="nil"/>
              <w:right w:val="single" w:color="000000" w:sz="4" w:space="0"/>
            </w:tcBorders>
            <w:shd w:val="clear" w:color="auto" w:fill="auto"/>
            <w:vAlign w:val="center"/>
          </w:tcPr>
          <w:p w14:paraId="1AD587AF">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乳腺癌联合化疗:卡培他滨可与多西他赛联合用于治疗含蒽环类药物方案化疗失败的转移性乳腺癌。乳腺癌单药化疗:卡培他滨亦可单独用于治疗对紫杉醇及含葱环类药物化疗方案均耐药或对紫杉醇耐药和不能再使用葸环类药物治疗(例如已经接受了累积剂量 400mg/m'阿霉素或阿霉素同类物)的转移性乳腺癌患者。耐药的定义为治疗期间疾病继续进展(有或无初始缓解)，或完成含有葸环类药物的辅助化疗后6个月内复发。</w:t>
            </w:r>
          </w:p>
        </w:tc>
      </w:tr>
      <w:tr w14:paraId="547C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04C">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FD00">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乳甲科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F64D">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依西美坦片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B9E7">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片剂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E260">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2Smg*42m</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BC8F">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用于经他莫昔芬辅助治疗2-3年后，绝经后雌激素受体阳性的妇女的早期浸润性乳腺癌的辅助治疗直至完成总共5年的辅助内分泌治疗。用于经他莫昔芬治疗后，其病情仍有进展的自然或人工绝经后妇女的晚期乳腺瘤。尚不明确本品在雌激素受体阴性患者中的疗效。</w:t>
            </w:r>
          </w:p>
        </w:tc>
      </w:tr>
      <w:tr w14:paraId="49F8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2462">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94BD">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儿科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9902">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卡介菌纯蛋白衍生物</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8B56">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注射剂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14:paraId="354677BE">
            <w:pPr>
              <w:keepNext w:val="0"/>
              <w:keepLines w:val="0"/>
              <w:widowControl/>
              <w:suppressLineNumbers w:val="0"/>
              <w:jc w:val="left"/>
              <w:textAlignment w:val="top"/>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每瓶1ml.每1次人用剂量为0.1ml,含BCG-PPD5IU.</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A634">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用于结核病的临床诊断、卡介苗接种对象的选择及卡介苗接种后机体免疫反应的监测。</w:t>
            </w:r>
          </w:p>
        </w:tc>
      </w:tr>
      <w:tr w14:paraId="2CE4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01A">
            <w:pPr>
              <w:keepNext w:val="0"/>
              <w:keepLines w:val="0"/>
              <w:widowControl/>
              <w:suppressLineNumbers w:val="0"/>
              <w:jc w:val="center"/>
              <w:textAlignment w:val="center"/>
              <w:rPr>
                <w:rFonts w:hint="default" w:ascii="仿宋_GB2312" w:hAnsi="Tahoma" w:eastAsia="仿宋_GB2312" w:cs="仿宋_GB2312"/>
                <w:i w:val="0"/>
                <w:iCs w:val="0"/>
                <w:color w:val="000000"/>
                <w:sz w:val="22"/>
                <w:szCs w:val="22"/>
                <w:u w:val="none"/>
              </w:rPr>
            </w:pPr>
            <w:r>
              <w:rPr>
                <w:rFonts w:hint="default" w:ascii="仿宋_GB2312" w:hAnsi="Tahoma" w:eastAsia="仿宋_GB2312" w:cs="仿宋_GB2312"/>
                <w:i w:val="0"/>
                <w:iCs w:val="0"/>
                <w:color w:val="000000"/>
                <w:kern w:val="0"/>
                <w:sz w:val="22"/>
                <w:szCs w:val="22"/>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33CB">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产科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0B9">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健脾生血片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B629">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片剂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49D">
            <w:pPr>
              <w:keepNext w:val="0"/>
              <w:keepLines w:val="0"/>
              <w:widowControl/>
              <w:suppressLineNumbers w:val="0"/>
              <w:jc w:val="center"/>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0.6g*60片</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88F0">
            <w:pPr>
              <w:keepNext w:val="0"/>
              <w:keepLines w:val="0"/>
              <w:widowControl/>
              <w:suppressLineNumbers w:val="0"/>
              <w:jc w:val="left"/>
              <w:textAlignment w:val="center"/>
              <w:rPr>
                <w:rFonts w:hint="default" w:ascii="仿宋_GB2312" w:hAnsi="Tahoma" w:eastAsia="仿宋_GB2312" w:cs="仿宋_GB2312"/>
                <w:i w:val="0"/>
                <w:iCs w:val="0"/>
                <w:color w:val="000000"/>
                <w:sz w:val="20"/>
                <w:szCs w:val="20"/>
                <w:u w:val="none"/>
              </w:rPr>
            </w:pPr>
            <w:r>
              <w:rPr>
                <w:rFonts w:hint="default" w:ascii="仿宋_GB2312" w:hAnsi="Tahoma" w:eastAsia="仿宋_GB2312" w:cs="仿宋_GB2312"/>
                <w:i w:val="0"/>
                <w:iCs w:val="0"/>
                <w:color w:val="000000"/>
                <w:kern w:val="0"/>
                <w:sz w:val="20"/>
                <w:szCs w:val="20"/>
                <w:u w:val="none"/>
                <w:lang w:val="en-US" w:eastAsia="zh-CN" w:bidi="ar"/>
              </w:rPr>
              <w:t>健脾和胃，养血安神。用于脾胃虚弱及心脾两虚所致的血虚证，症见面色萎黄或晓白，食少纳呆，脘腹胀闷，大便不调，烦躁多汗，倦怠乏力，舌胖色淡，苔薄白，脉细弱;缺铁性贫血见上述证候者。</w:t>
            </w:r>
          </w:p>
        </w:tc>
      </w:tr>
    </w:tbl>
    <w:p w14:paraId="40898EFA">
      <w:pPr>
        <w:rPr>
          <w:color w:val="auto"/>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Tk3MDI4ODJhOTAzMTY5YjYwNDc1MzE2MzM3MWUifQ=="/>
  </w:docVars>
  <w:rsids>
    <w:rsidRoot w:val="682D0F99"/>
    <w:rsid w:val="01CC52C5"/>
    <w:rsid w:val="02DB255B"/>
    <w:rsid w:val="06E86F53"/>
    <w:rsid w:val="0BB65704"/>
    <w:rsid w:val="104E0E24"/>
    <w:rsid w:val="10F23283"/>
    <w:rsid w:val="16474832"/>
    <w:rsid w:val="19D03B4E"/>
    <w:rsid w:val="1FD5103C"/>
    <w:rsid w:val="276B45CD"/>
    <w:rsid w:val="2F3E6334"/>
    <w:rsid w:val="31DF1196"/>
    <w:rsid w:val="3782383F"/>
    <w:rsid w:val="406E1C67"/>
    <w:rsid w:val="46841787"/>
    <w:rsid w:val="4BF206B0"/>
    <w:rsid w:val="4F1A3F10"/>
    <w:rsid w:val="51864D8D"/>
    <w:rsid w:val="52A4390E"/>
    <w:rsid w:val="57DE5EB8"/>
    <w:rsid w:val="580C1E2B"/>
    <w:rsid w:val="5EEB1905"/>
    <w:rsid w:val="5FBE72D2"/>
    <w:rsid w:val="678B54C4"/>
    <w:rsid w:val="682D0F99"/>
    <w:rsid w:val="75005138"/>
    <w:rsid w:val="75295002"/>
    <w:rsid w:val="7B994496"/>
    <w:rsid w:val="7E330491"/>
    <w:rsid w:val="7E581A9B"/>
    <w:rsid w:val="7F2F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0"/>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0"/>
    <w:pPr>
      <w:ind w:left="7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858</Characters>
  <Lines>0</Lines>
  <Paragraphs>0</Paragraphs>
  <TotalTime>17</TotalTime>
  <ScaleCrop>false</ScaleCrop>
  <LinksUpToDate>false</LinksUpToDate>
  <CharactersWithSpaces>862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2019-05-28T00:48:00Z</dcterms:created>
  <dc:creator>局…（外人）</dc:creator>
  <cp:lastModifiedBy>微信用户</cp:lastModifiedBy>
  <cp:lastPrinted>2022-07-26T02:17:00Z</cp:lastPrinted>
  <dcterms:modified xsi:type="dcterms:W3CDTF">2025-08-26T06:23:44Z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FCDD2804994D46078B70D87EDC49FE1D_13</vt:lpwstr>
  </property>
  <property fmtid="{D5CDD505-2E9C-101B-9397-08002B2CF9AE}" pid="4" name="KSOTemplateDocerSaveRecord">
    <vt:lpwstr>eyJoZGlkIjoiY2FjOTk3MDI4ODJhOTAzMTY5YjYwNDc1MzE2MzM3MWUifQ==</vt:lpwstr>
  </property>
</Properties>
</file>